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880" w:firstLineChars="200"/>
        <w:jc w:val="center"/>
        <w:rPr>
          <w:rFonts w:ascii="方正小标宋_GBK" w:hAnsi="Times New Roman" w:eastAsia="方正小标宋_GBK" w:cs="Times New Roman"/>
          <w:sz w:val="44"/>
          <w:szCs w:val="44"/>
        </w:rPr>
      </w:pPr>
    </w:p>
    <w:p>
      <w:pPr>
        <w:ind w:firstLine="880" w:firstLineChars="200"/>
        <w:jc w:val="center"/>
        <w:rPr>
          <w:rFonts w:ascii="Times New Roman" w:hAnsi="Times New Roman" w:eastAsia="方正小标宋_GBK" w:cs="Times New Roman"/>
          <w:sz w:val="44"/>
          <w:szCs w:val="44"/>
        </w:rPr>
      </w:pPr>
      <w:r>
        <w:rPr>
          <w:rFonts w:hint="eastAsia" w:ascii="方正小标宋_GBK" w:hAnsi="Times New Roman" w:eastAsia="方正小标宋_GBK" w:cs="方正小标宋_GBK"/>
          <w:sz w:val="44"/>
          <w:szCs w:val="44"/>
        </w:rPr>
        <w:t>河北省福利彩票发行管理中心</w:t>
      </w:r>
      <w:r>
        <w:rPr>
          <w:rFonts w:ascii="方正小标宋_GBK" w:hAnsi="Times New Roman" w:eastAsia="方正小标宋_GBK" w:cs="方正小标宋_GBK"/>
          <w:sz w:val="44"/>
          <w:szCs w:val="44"/>
        </w:rPr>
        <w:t>2018</w:t>
      </w:r>
      <w:r>
        <w:rPr>
          <w:rFonts w:hint="eastAsia" w:ascii="方正小标宋_GBK" w:hAnsi="Times New Roman" w:eastAsia="方正小标宋_GBK" w:cs="方正小标宋_GBK"/>
          <w:sz w:val="44"/>
          <w:szCs w:val="44"/>
        </w:rPr>
        <w:t>年部门预算信息公开</w:t>
      </w:r>
      <w:r>
        <w:rPr>
          <w:rFonts w:ascii="Times New Roman" w:hAnsi="Times New Roman" w:eastAsia="方正小标宋_GBK" w:cs="Times New Roman"/>
          <w:sz w:val="44"/>
          <w:szCs w:val="44"/>
        </w:rPr>
        <w:t xml:space="preserve">                         </w:t>
      </w:r>
    </w:p>
    <w:p>
      <w:pPr>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按照</w:t>
      </w:r>
      <w:r>
        <w:rPr>
          <w:rFonts w:hint="eastAsia" w:ascii="方正仿宋_GBK" w:hAnsi="Times New Roman" w:eastAsia="方正仿宋_GBK" w:cs="方正仿宋_GBK"/>
          <w:sz w:val="32"/>
          <w:szCs w:val="32"/>
          <w:lang w:eastAsia="zh-CN"/>
        </w:rPr>
        <w:t>《中华人民共和国预算法》</w:t>
      </w:r>
      <w:r>
        <w:rPr>
          <w:rFonts w:hint="eastAsia" w:ascii="方正仿宋_GBK" w:hAnsi="Times New Roman" w:eastAsia="方正仿宋_GBK" w:cs="方正仿宋_GBK"/>
          <w:sz w:val="32"/>
          <w:szCs w:val="32"/>
        </w:rPr>
        <w:t>、《地方预决算公开操作规程》和《河北省省级预算公开办法》规定，现将河北省福利彩票发行管理中心</w:t>
      </w:r>
      <w:r>
        <w:rPr>
          <w:rFonts w:ascii="方正仿宋_GBK" w:hAnsi="Times New Roman" w:eastAsia="方正仿宋_GBK" w:cs="方正仿宋_GBK"/>
          <w:sz w:val="32"/>
          <w:szCs w:val="32"/>
        </w:rPr>
        <w:t>2018</w:t>
      </w:r>
      <w:r>
        <w:rPr>
          <w:rFonts w:hint="eastAsia" w:ascii="方正仿宋_GBK" w:hAnsi="Times New Roman" w:eastAsia="方正仿宋_GBK" w:cs="方正仿宋_GBK"/>
          <w:sz w:val="32"/>
          <w:szCs w:val="32"/>
        </w:rPr>
        <w:t>年部门预算公开如下：</w:t>
      </w:r>
    </w:p>
    <w:p>
      <w:pPr>
        <w:ind w:firstLine="640"/>
        <w:rPr>
          <w:rFonts w:ascii="黑体" w:hAnsi="黑体" w:eastAsia="黑体" w:cs="Times New Roman"/>
          <w:sz w:val="32"/>
          <w:szCs w:val="32"/>
        </w:rPr>
      </w:pPr>
      <w:r>
        <w:rPr>
          <w:rFonts w:hint="eastAsia" w:ascii="黑体" w:hAnsi="黑体" w:eastAsia="黑体" w:cs="黑体"/>
          <w:sz w:val="32"/>
          <w:szCs w:val="32"/>
        </w:rPr>
        <w:t>一、部门职责及机构设置情况</w:t>
      </w:r>
    </w:p>
    <w:p>
      <w:pPr>
        <w:ind w:firstLine="640" w:firstLineChars="200"/>
        <w:rPr>
          <w:rFonts w:ascii="方正楷体_GBK" w:hAnsi="Times New Roman" w:eastAsia="方正楷体_GBK" w:cs="Times New Roman"/>
          <w:b/>
          <w:bCs/>
          <w:sz w:val="32"/>
          <w:szCs w:val="32"/>
        </w:rPr>
      </w:pPr>
      <w:r>
        <w:rPr>
          <w:rFonts w:hint="eastAsia" w:ascii="方正楷体_GBK" w:hAnsi="Times New Roman" w:eastAsia="方正楷体_GBK" w:cs="方正楷体_GBK"/>
          <w:b/>
          <w:bCs/>
          <w:sz w:val="32"/>
          <w:szCs w:val="32"/>
        </w:rPr>
        <w:t>部门职责：</w:t>
      </w:r>
    </w:p>
    <w:p>
      <w:pPr>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经河北省人民政府批准，河北省福利彩票发行管理中心成立于</w:t>
      </w:r>
      <w:r>
        <w:rPr>
          <w:rFonts w:ascii="方正仿宋_GBK" w:hAnsi="Times New Roman" w:eastAsia="方正仿宋_GBK" w:cs="方正仿宋_GBK"/>
          <w:sz w:val="32"/>
          <w:szCs w:val="32"/>
        </w:rPr>
        <w:t>1988</w:t>
      </w:r>
      <w:r>
        <w:rPr>
          <w:rFonts w:hint="eastAsia" w:ascii="方正仿宋_GBK" w:hAnsi="Times New Roman" w:eastAsia="方正仿宋_GBK" w:cs="方正仿宋_GBK"/>
          <w:sz w:val="32"/>
          <w:szCs w:val="32"/>
        </w:rPr>
        <w:t>年</w:t>
      </w:r>
      <w:r>
        <w:rPr>
          <w:rFonts w:ascii="方正仿宋_GBK" w:hAnsi="Times New Roman" w:eastAsia="方正仿宋_GBK" w:cs="方正仿宋_GBK"/>
          <w:sz w:val="32"/>
          <w:szCs w:val="32"/>
        </w:rPr>
        <w:t>6</w:t>
      </w:r>
      <w:r>
        <w:rPr>
          <w:rFonts w:hint="eastAsia" w:ascii="方正仿宋_GBK" w:hAnsi="Times New Roman" w:eastAsia="方正仿宋_GBK" w:cs="方正仿宋_GBK"/>
          <w:sz w:val="32"/>
          <w:szCs w:val="32"/>
        </w:rPr>
        <w:t>月，又名河北省社会福利有奖募捐委员会办公室，是隶属于河北省民政厅领导的正处级自收自支事业单位。在业务上接受中国福利彩票发行管理中心的监督、指导，按照“扶老、助残、救孤、济困”的行业宗旨，主要负责全省福利彩票发行销售的计划组织、技术保障、市场开发、渠道建设、营销宣传、开奖兑奖、财务管理等工作，以动员社会力量，在全省销售福利彩票，筹集社会公益金，促进我省社会福利事业发展。</w:t>
      </w:r>
    </w:p>
    <w:p>
      <w:pPr>
        <w:ind w:firstLine="640" w:firstLineChars="200"/>
        <w:rPr>
          <w:rFonts w:ascii="方正仿宋_GBK" w:hAnsi="Times New Roman" w:eastAsia="方正仿宋_GBK" w:cs="Times New Roman"/>
          <w:sz w:val="32"/>
          <w:szCs w:val="32"/>
        </w:rPr>
      </w:pPr>
      <w:r>
        <w:rPr>
          <w:rFonts w:hint="eastAsia" w:ascii="方正仿宋_GBK" w:hAnsi="Times New Roman" w:eastAsia="方正仿宋_GBK" w:cs="方正仿宋_GBK"/>
          <w:sz w:val="32"/>
          <w:szCs w:val="32"/>
        </w:rPr>
        <w:t>在中国福利彩票发行管理中心的统一组织领导下，河北省福利彩票发行管理中心负责全省的福利彩票销售工作，主要职责是：</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1</w:t>
      </w:r>
      <w:r>
        <w:rPr>
          <w:rFonts w:hint="eastAsia" w:ascii="方正仿宋_GBK" w:hAnsi="Times New Roman" w:eastAsia="方正仿宋_GBK" w:cs="方正仿宋_GBK"/>
          <w:sz w:val="32"/>
          <w:szCs w:val="32"/>
        </w:rPr>
        <w:t>、制定本行政区域福利彩票销售管理办法和工作规范；</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2</w:t>
      </w:r>
      <w:r>
        <w:rPr>
          <w:rFonts w:hint="eastAsia" w:ascii="方正仿宋_GBK" w:hAnsi="Times New Roman" w:eastAsia="方正仿宋_GBK" w:cs="方正仿宋_GBK"/>
          <w:sz w:val="32"/>
          <w:szCs w:val="32"/>
        </w:rPr>
        <w:t>、向彩票发行机构提出停止彩票品种或者变更彩票品种审批事项的建议；</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3</w:t>
      </w:r>
      <w:r>
        <w:rPr>
          <w:rFonts w:hint="eastAsia" w:ascii="方正仿宋_GBK" w:hAnsi="Times New Roman" w:eastAsia="方正仿宋_GBK" w:cs="方正仿宋_GBK"/>
          <w:sz w:val="32"/>
          <w:szCs w:val="32"/>
        </w:rPr>
        <w:t>、向同级财政部门提出本行政区域彩票销售实施方案，经审核后组织实施；</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4</w:t>
      </w:r>
      <w:r>
        <w:rPr>
          <w:rFonts w:hint="eastAsia" w:ascii="方正仿宋_GBK" w:hAnsi="Times New Roman" w:eastAsia="方正仿宋_GBK" w:cs="方正仿宋_GBK"/>
          <w:sz w:val="32"/>
          <w:szCs w:val="32"/>
        </w:rPr>
        <w:t>、负责本行政区域福利彩票销售系统的建设、运营和维护；</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5</w:t>
      </w:r>
      <w:r>
        <w:rPr>
          <w:rFonts w:hint="eastAsia" w:ascii="方正仿宋_GBK" w:hAnsi="Times New Roman" w:eastAsia="方正仿宋_GBK" w:cs="方正仿宋_GBK"/>
          <w:sz w:val="32"/>
          <w:szCs w:val="32"/>
        </w:rPr>
        <w:t>、负责实施本行政区域福利彩票销售系统数据管理、资金归集结算、销售渠道规划、物流管理、开奖兑奖；</w:t>
      </w:r>
    </w:p>
    <w:p>
      <w:pPr>
        <w:ind w:firstLine="960" w:firstLineChars="300"/>
        <w:rPr>
          <w:rFonts w:ascii="方正仿宋_GBK" w:hAnsi="Times New Roman" w:eastAsia="方正仿宋_GBK" w:cs="Times New Roman"/>
          <w:sz w:val="32"/>
          <w:szCs w:val="32"/>
        </w:rPr>
      </w:pPr>
      <w:r>
        <w:rPr>
          <w:rFonts w:ascii="方正仿宋_GBK" w:hAnsi="Times New Roman" w:eastAsia="方正仿宋_GBK" w:cs="方正仿宋_GBK"/>
          <w:sz w:val="32"/>
          <w:szCs w:val="32"/>
        </w:rPr>
        <w:t>6</w:t>
      </w:r>
      <w:r>
        <w:rPr>
          <w:rFonts w:hint="eastAsia" w:ascii="方正仿宋_GBK" w:hAnsi="Times New Roman" w:eastAsia="方正仿宋_GBK" w:cs="方正仿宋_GBK"/>
          <w:sz w:val="32"/>
          <w:szCs w:val="32"/>
        </w:rPr>
        <w:t>、负责组织实施本行政区域福利彩票的形象建设、彩票代销、营销宣传、业务培训、人才队伍建设等工作。</w:t>
      </w:r>
    </w:p>
    <w:p>
      <w:pPr>
        <w:jc w:val="cente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 xml:space="preserve">   </w:t>
      </w:r>
    </w:p>
    <w:p>
      <w:pPr>
        <w:ind w:firstLine="480" w:firstLineChars="150"/>
        <w:rPr>
          <w:rFonts w:ascii="方正楷体_GBK" w:hAnsi="Times New Roman" w:eastAsia="方正楷体_GBK" w:cs="Times New Roman"/>
          <w:b/>
          <w:bCs/>
          <w:sz w:val="32"/>
          <w:szCs w:val="32"/>
        </w:rPr>
      </w:pPr>
      <w:r>
        <w:rPr>
          <w:rFonts w:ascii="方正楷体_GBK" w:hAnsi="Times New Roman" w:eastAsia="方正楷体_GBK" w:cs="方正楷体_GBK"/>
          <w:b/>
          <w:bCs/>
          <w:sz w:val="32"/>
          <w:szCs w:val="32"/>
        </w:rPr>
        <w:t xml:space="preserve"> </w:t>
      </w:r>
      <w:r>
        <w:rPr>
          <w:rFonts w:hint="eastAsia" w:ascii="方正楷体_GBK" w:hAnsi="Times New Roman" w:eastAsia="方正楷体_GBK" w:cs="方正楷体_GBK"/>
          <w:b/>
          <w:bCs/>
          <w:sz w:val="32"/>
          <w:szCs w:val="32"/>
        </w:rPr>
        <w:t>机构设置：</w:t>
      </w:r>
    </w:p>
    <w:p>
      <w:pPr>
        <w:ind w:firstLine="5763" w:firstLineChars="1800"/>
        <w:rPr>
          <w:rFonts w:ascii="方正书宋_GBK" w:eastAsia="方正书宋_GBK" w:cs="Times New Roman"/>
          <w:b/>
          <w:bCs/>
          <w:sz w:val="32"/>
          <w:szCs w:val="32"/>
        </w:rPr>
      </w:pPr>
      <w:r>
        <w:rPr>
          <w:rFonts w:hint="eastAsia" w:ascii="方正书宋_GBK" w:eastAsia="方正书宋_GBK" w:cs="方正书宋_GBK"/>
          <w:b/>
          <w:bCs/>
          <w:sz w:val="32"/>
          <w:szCs w:val="32"/>
        </w:rPr>
        <w:t>部门机构设置情况</w:t>
      </w:r>
    </w:p>
    <w:tbl>
      <w:tblPr>
        <w:tblStyle w:val="9"/>
        <w:tblW w:w="1039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43"/>
        <w:gridCol w:w="1646"/>
        <w:gridCol w:w="1785"/>
        <w:gridCol w:w="252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00" w:hRule="atLeast"/>
          <w:tblHeader/>
          <w:jc w:val="center"/>
        </w:trPr>
        <w:tc>
          <w:tcPr>
            <w:tcW w:w="4443"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单位名称</w:t>
            </w:r>
          </w:p>
        </w:tc>
        <w:tc>
          <w:tcPr>
            <w:tcW w:w="1646"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单位性质</w:t>
            </w:r>
          </w:p>
        </w:tc>
        <w:tc>
          <w:tcPr>
            <w:tcW w:w="1785"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单位规格</w:t>
            </w:r>
          </w:p>
        </w:tc>
        <w:tc>
          <w:tcPr>
            <w:tcW w:w="2520" w:type="dxa"/>
            <w:vMerge w:val="restart"/>
            <w:vAlign w:val="center"/>
          </w:tcPr>
          <w:p>
            <w:pPr>
              <w:spacing w:line="300" w:lineRule="exact"/>
              <w:jc w:val="center"/>
              <w:rPr>
                <w:rFonts w:ascii="Times New Roman" w:hAnsi="Times New Roman" w:eastAsia="方正书宋_GBK" w:cs="Times New Roman"/>
                <w:b/>
                <w:bCs/>
                <w:sz w:val="28"/>
                <w:szCs w:val="28"/>
              </w:rPr>
            </w:pPr>
            <w:r>
              <w:rPr>
                <w:rFonts w:hint="eastAsia" w:ascii="Times New Roman" w:hAnsi="Times New Roman" w:eastAsia="方正书宋_GBK" w:cs="方正书宋_GBK"/>
                <w:b/>
                <w:bCs/>
                <w:sz w:val="28"/>
                <w:szCs w:val="28"/>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7" w:hRule="atLeast"/>
          <w:tblHeader/>
          <w:jc w:val="center"/>
        </w:trPr>
        <w:tc>
          <w:tcPr>
            <w:tcW w:w="4443" w:type="dxa"/>
            <w:vMerge w:val="continue"/>
            <w:vAlign w:val="center"/>
          </w:tcPr>
          <w:p>
            <w:pPr>
              <w:spacing w:line="300" w:lineRule="exact"/>
              <w:jc w:val="left"/>
              <w:outlineLvl w:val="0"/>
              <w:rPr>
                <w:rFonts w:ascii="Times New Roman" w:hAnsi="Times New Roman" w:cs="Times New Roman"/>
                <w:sz w:val="28"/>
                <w:szCs w:val="28"/>
              </w:rPr>
            </w:pPr>
          </w:p>
        </w:tc>
        <w:tc>
          <w:tcPr>
            <w:tcW w:w="1646" w:type="dxa"/>
            <w:vMerge w:val="continue"/>
            <w:vAlign w:val="center"/>
          </w:tcPr>
          <w:p>
            <w:pPr>
              <w:spacing w:line="300" w:lineRule="exact"/>
              <w:jc w:val="left"/>
              <w:outlineLvl w:val="0"/>
              <w:rPr>
                <w:rFonts w:ascii="Times New Roman" w:hAnsi="Times New Roman" w:cs="Times New Roman"/>
                <w:sz w:val="28"/>
                <w:szCs w:val="28"/>
              </w:rPr>
            </w:pPr>
          </w:p>
        </w:tc>
        <w:tc>
          <w:tcPr>
            <w:tcW w:w="1785" w:type="dxa"/>
            <w:vMerge w:val="continue"/>
            <w:vAlign w:val="center"/>
          </w:tcPr>
          <w:p>
            <w:pPr>
              <w:spacing w:line="300" w:lineRule="exact"/>
              <w:jc w:val="left"/>
              <w:outlineLvl w:val="0"/>
              <w:rPr>
                <w:rFonts w:ascii="Times New Roman" w:hAnsi="Times New Roman" w:cs="Times New Roman"/>
                <w:sz w:val="28"/>
                <w:szCs w:val="28"/>
              </w:rPr>
            </w:pPr>
          </w:p>
        </w:tc>
        <w:tc>
          <w:tcPr>
            <w:tcW w:w="2520" w:type="dxa"/>
            <w:vMerge w:val="continue"/>
            <w:vAlign w:val="center"/>
          </w:tcPr>
          <w:p>
            <w:pPr>
              <w:spacing w:line="300" w:lineRule="exact"/>
              <w:jc w:val="left"/>
              <w:outlineLvl w:val="0"/>
              <w:rPr>
                <w:rFonts w:ascii="Times New Roman" w:hAnsi="Times New Roman" w:cs="Times New Roman"/>
                <w:sz w:val="28"/>
                <w:szCs w:val="28"/>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09" w:hRule="atLeast"/>
          <w:jc w:val="center"/>
        </w:trPr>
        <w:tc>
          <w:tcPr>
            <w:tcW w:w="4443" w:type="dxa"/>
            <w:vAlign w:val="center"/>
          </w:tcPr>
          <w:p>
            <w:pPr>
              <w:spacing w:line="300" w:lineRule="exact"/>
              <w:jc w:val="left"/>
              <w:rPr>
                <w:rFonts w:ascii="方正书宋_GBK" w:hAnsi="Times New Roman" w:eastAsia="方正书宋_GBK" w:cs="Times New Roman"/>
                <w:sz w:val="28"/>
                <w:szCs w:val="28"/>
              </w:rPr>
            </w:pPr>
            <w:r>
              <w:rPr>
                <w:rFonts w:hint="eastAsia" w:ascii="方正书宋_GBK" w:hAnsi="Times New Roman" w:eastAsia="方正书宋_GBK" w:cs="方正书宋_GBK"/>
                <w:sz w:val="28"/>
                <w:szCs w:val="28"/>
              </w:rPr>
              <w:t>河北省</w:t>
            </w:r>
            <w:r>
              <w:rPr>
                <w:rFonts w:hint="eastAsia" w:ascii="方正书宋_GBK" w:hAnsi="Times New Roman" w:eastAsia="方正书宋_GBK" w:cs="方正书宋_GBK"/>
                <w:sz w:val="32"/>
                <w:szCs w:val="32"/>
              </w:rPr>
              <w:t>福利彩票发行管理中心</w:t>
            </w:r>
          </w:p>
        </w:tc>
        <w:tc>
          <w:tcPr>
            <w:tcW w:w="1646" w:type="dxa"/>
            <w:vAlign w:val="center"/>
          </w:tcPr>
          <w:p>
            <w:pPr>
              <w:spacing w:line="300" w:lineRule="exact"/>
              <w:jc w:val="left"/>
              <w:rPr>
                <w:rFonts w:ascii="Times New Roman" w:hAnsi="Times New Roman" w:eastAsia="方正书宋_GBK" w:cs="Times New Roman"/>
                <w:sz w:val="28"/>
                <w:szCs w:val="28"/>
              </w:rPr>
            </w:pPr>
            <w:r>
              <w:rPr>
                <w:rFonts w:hint="eastAsia" w:ascii="Times New Roman" w:hAnsi="Times New Roman" w:eastAsia="方正书宋_GBK" w:cs="方正书宋_GBK"/>
                <w:sz w:val="28"/>
                <w:szCs w:val="28"/>
              </w:rPr>
              <w:t>事业</w:t>
            </w:r>
          </w:p>
        </w:tc>
        <w:tc>
          <w:tcPr>
            <w:tcW w:w="1785" w:type="dxa"/>
            <w:vAlign w:val="center"/>
          </w:tcPr>
          <w:p>
            <w:pPr>
              <w:spacing w:line="300" w:lineRule="exact"/>
              <w:jc w:val="left"/>
              <w:rPr>
                <w:rFonts w:ascii="Times New Roman" w:hAnsi="Times New Roman" w:eastAsia="方正书宋_GBK" w:cs="Times New Roman"/>
                <w:sz w:val="28"/>
                <w:szCs w:val="28"/>
              </w:rPr>
            </w:pPr>
            <w:r>
              <w:rPr>
                <w:rFonts w:hint="eastAsia" w:ascii="Times New Roman" w:hAnsi="Times New Roman" w:eastAsia="方正书宋_GBK" w:cs="方正书宋_GBK"/>
                <w:sz w:val="28"/>
                <w:szCs w:val="28"/>
              </w:rPr>
              <w:t>正处级</w:t>
            </w:r>
          </w:p>
        </w:tc>
        <w:tc>
          <w:tcPr>
            <w:tcW w:w="2520" w:type="dxa"/>
            <w:vAlign w:val="center"/>
          </w:tcPr>
          <w:p>
            <w:pPr>
              <w:spacing w:line="300" w:lineRule="exact"/>
              <w:jc w:val="left"/>
              <w:rPr>
                <w:rFonts w:ascii="Times New Roman" w:hAnsi="Times New Roman" w:eastAsia="方正书宋_GBK" w:cs="Times New Roman"/>
                <w:sz w:val="28"/>
                <w:szCs w:val="28"/>
              </w:rPr>
            </w:pPr>
            <w:r>
              <w:rPr>
                <w:rFonts w:hint="eastAsia" w:ascii="Times New Roman" w:hAnsi="Times New Roman" w:eastAsia="方正书宋_GBK" w:cs="方正书宋_GBK"/>
                <w:sz w:val="28"/>
                <w:szCs w:val="28"/>
              </w:rPr>
              <w:t>财政性资金零补助</w:t>
            </w:r>
          </w:p>
        </w:tc>
      </w:tr>
    </w:tbl>
    <w:p>
      <w:pPr>
        <w:rPr>
          <w:rFonts w:cs="Times New Roman"/>
        </w:rPr>
      </w:pPr>
    </w:p>
    <w:p>
      <w:pPr>
        <w:autoSpaceDE w:val="0"/>
        <w:autoSpaceDN w:val="0"/>
        <w:adjustRightInd w:val="0"/>
        <w:jc w:val="left"/>
        <w:rPr>
          <w:rFonts w:ascii="方正楷体_GBK" w:hAnsi="Times New Roman" w:eastAsia="方正楷体_GBK" w:cs="Times New Roman"/>
          <w:b/>
          <w:bCs/>
          <w:sz w:val="32"/>
          <w:szCs w:val="32"/>
        </w:rPr>
      </w:pPr>
    </w:p>
    <w:p>
      <w:pPr>
        <w:ind w:firstLine="640"/>
        <w:rPr>
          <w:rFonts w:ascii="黑体" w:hAnsi="黑体" w:eastAsia="黑体" w:cs="Times New Roman"/>
          <w:sz w:val="32"/>
          <w:szCs w:val="32"/>
        </w:rPr>
      </w:pPr>
      <w:r>
        <w:rPr>
          <w:rFonts w:hint="eastAsia" w:ascii="黑体" w:hAnsi="黑体" w:eastAsia="黑体" w:cs="黑体"/>
          <w:sz w:val="32"/>
          <w:szCs w:val="32"/>
        </w:rPr>
        <w:t>二、部门预算安排的总体情况</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按照预算管理有关规定，目前我省部门预算的编制实行综合预算制度，即全部收入和支出都反映在预算中。</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、收入说明</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反映本部门当年全部收入。</w:t>
      </w: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年预算收入</w:t>
      </w:r>
      <w:r>
        <w:rPr>
          <w:rFonts w:ascii="Times New Roman" w:hAnsi="Times New Roman" w:eastAsia="方正仿宋_GBK" w:cs="Times New Roman"/>
          <w:sz w:val="32"/>
          <w:szCs w:val="32"/>
        </w:rPr>
        <w:t>19955</w:t>
      </w:r>
      <w:r>
        <w:rPr>
          <w:rFonts w:hint="eastAsia" w:ascii="Times New Roman" w:hAnsi="Times New Roman" w:eastAsia="方正仿宋_GBK" w:cs="方正仿宋_GBK"/>
          <w:sz w:val="32"/>
          <w:szCs w:val="32"/>
        </w:rPr>
        <w:t>万元，其中：一般公共预算收入</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万元，基金预算收入</w:t>
      </w:r>
      <w:r>
        <w:rPr>
          <w:rFonts w:ascii="Times New Roman" w:hAnsi="Times New Roman" w:eastAsia="方正仿宋_GBK" w:cs="Times New Roman"/>
          <w:sz w:val="32"/>
          <w:szCs w:val="32"/>
        </w:rPr>
        <w:t>19755</w:t>
      </w:r>
      <w:r>
        <w:rPr>
          <w:rFonts w:hint="eastAsia" w:ascii="Times New Roman" w:hAnsi="Times New Roman" w:eastAsia="方正仿宋_GBK" w:cs="方正仿宋_GBK"/>
          <w:sz w:val="32"/>
          <w:szCs w:val="32"/>
        </w:rPr>
        <w:t>万元，财政专户核拨收入</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万元，其他来源收入</w:t>
      </w:r>
      <w:r>
        <w:rPr>
          <w:rFonts w:ascii="Times New Roman" w:hAnsi="Times New Roman" w:eastAsia="方正仿宋_GBK" w:cs="Times New Roman"/>
          <w:sz w:val="32"/>
          <w:szCs w:val="32"/>
        </w:rPr>
        <w:t>200</w:t>
      </w:r>
      <w:r>
        <w:rPr>
          <w:rFonts w:hint="eastAsia" w:ascii="Times New Roman" w:hAnsi="Times New Roman" w:eastAsia="方正仿宋_GBK" w:cs="方正仿宋_GBK"/>
          <w:sz w:val="32"/>
          <w:szCs w:val="32"/>
        </w:rPr>
        <w:t>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、支出说明</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收支预算总表支出栏、基本支出表、项目支出表按经济分类和支出功能分类科目编制，反映河北省福利彩票发行管理中心年度部门预算中支出预算的总体情况。</w:t>
      </w: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年支出预算</w:t>
      </w:r>
      <w:r>
        <w:rPr>
          <w:rFonts w:ascii="Times New Roman" w:hAnsi="Times New Roman" w:eastAsia="方正仿宋_GBK" w:cs="Times New Roman"/>
          <w:sz w:val="32"/>
          <w:szCs w:val="32"/>
        </w:rPr>
        <w:t>19955</w:t>
      </w:r>
      <w:r>
        <w:rPr>
          <w:rFonts w:hint="eastAsia" w:ascii="Times New Roman" w:hAnsi="Times New Roman" w:eastAsia="方正仿宋_GBK" w:cs="方正仿宋_GBK"/>
          <w:sz w:val="32"/>
          <w:szCs w:val="32"/>
        </w:rPr>
        <w:t>万元，其中基本支出</w:t>
      </w:r>
      <w:r>
        <w:rPr>
          <w:rFonts w:ascii="Times New Roman" w:hAnsi="Times New Roman" w:eastAsia="方正仿宋_GBK" w:cs="Times New Roman"/>
          <w:sz w:val="32"/>
          <w:szCs w:val="32"/>
        </w:rPr>
        <w:t>1080.68</w:t>
      </w:r>
      <w:r>
        <w:rPr>
          <w:rFonts w:hint="eastAsia" w:ascii="Times New Roman" w:hAnsi="Times New Roman" w:eastAsia="方正仿宋_GBK" w:cs="Times New Roman"/>
          <w:sz w:val="32"/>
          <w:szCs w:val="32"/>
        </w:rPr>
        <w:t>万元，包括人员经费</w:t>
      </w:r>
      <w:r>
        <w:rPr>
          <w:rFonts w:ascii="Times New Roman" w:hAnsi="Times New Roman" w:eastAsia="方正仿宋_GBK" w:cs="Times New Roman"/>
          <w:sz w:val="32"/>
          <w:szCs w:val="32"/>
        </w:rPr>
        <w:t>841.68</w:t>
      </w:r>
      <w:r>
        <w:rPr>
          <w:rFonts w:hint="eastAsia" w:ascii="Times New Roman" w:hAnsi="Times New Roman" w:eastAsia="方正仿宋_GBK" w:cs="Times New Roman"/>
          <w:sz w:val="32"/>
          <w:szCs w:val="32"/>
        </w:rPr>
        <w:t>万元和日常公用经费</w:t>
      </w:r>
      <w:r>
        <w:rPr>
          <w:rFonts w:ascii="Times New Roman" w:hAnsi="Times New Roman" w:eastAsia="方正仿宋_GBK" w:cs="Times New Roman"/>
          <w:sz w:val="32"/>
          <w:szCs w:val="32"/>
        </w:rPr>
        <w:t>239</w:t>
      </w:r>
      <w:r>
        <w:rPr>
          <w:rFonts w:hint="eastAsia" w:ascii="Times New Roman" w:hAnsi="Times New Roman" w:eastAsia="方正仿宋_GBK" w:cs="Times New Roman"/>
          <w:sz w:val="32"/>
          <w:szCs w:val="32"/>
        </w:rPr>
        <w:t>万元；项目支出</w:t>
      </w:r>
      <w:r>
        <w:rPr>
          <w:rFonts w:ascii="Times New Roman" w:hAnsi="Times New Roman" w:eastAsia="方正仿宋_GBK" w:cs="Times New Roman"/>
          <w:sz w:val="32"/>
          <w:szCs w:val="32"/>
        </w:rPr>
        <w:t>18674.32</w:t>
      </w:r>
      <w:r>
        <w:rPr>
          <w:rFonts w:hint="eastAsia" w:ascii="Times New Roman" w:hAnsi="Times New Roman" w:eastAsia="方正仿宋_GBK" w:cs="Times New Roman"/>
          <w:sz w:val="32"/>
          <w:szCs w:val="32"/>
        </w:rPr>
        <w:t>万元，主要用于福利彩票促销、市场宣传推广、彩票销售渠道建设；其他支出200万元。</w:t>
      </w:r>
    </w:p>
    <w:p>
      <w:pPr>
        <w:ind w:firstLine="64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、比上年增减情况</w:t>
      </w:r>
    </w:p>
    <w:p>
      <w:pPr>
        <w:ind w:firstLine="640"/>
        <w:rPr>
          <w:rFonts w:ascii="仿宋_GB2312" w:hAnsi="黑体" w:eastAsia="仿宋_GB2312" w:cs="Times New Roman"/>
          <w:sz w:val="32"/>
          <w:szCs w:val="32"/>
        </w:rPr>
      </w:pP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年预算收支安排</w:t>
      </w:r>
      <w:r>
        <w:rPr>
          <w:rFonts w:ascii="Times New Roman" w:hAnsi="Times New Roman" w:eastAsia="方正仿宋_GBK" w:cs="Times New Roman"/>
          <w:sz w:val="32"/>
          <w:szCs w:val="32"/>
        </w:rPr>
        <w:t>19955</w:t>
      </w:r>
      <w:r>
        <w:rPr>
          <w:rFonts w:hint="eastAsia" w:ascii="Times New Roman" w:hAnsi="Times New Roman" w:eastAsia="方正仿宋_GBK" w:cs="方正仿宋_GBK"/>
          <w:sz w:val="32"/>
          <w:szCs w:val="32"/>
        </w:rPr>
        <w:t>万元，较</w:t>
      </w:r>
      <w:r>
        <w:rPr>
          <w:rFonts w:ascii="Times New Roman" w:hAnsi="Times New Roman" w:eastAsia="方正仿宋_GBK" w:cs="Times New Roman"/>
          <w:sz w:val="32"/>
          <w:szCs w:val="32"/>
        </w:rPr>
        <w:t>2017</w:t>
      </w:r>
      <w:r>
        <w:rPr>
          <w:rFonts w:hint="eastAsia" w:ascii="Times New Roman" w:hAnsi="Times New Roman" w:eastAsia="方正仿宋_GBK" w:cs="方正仿宋_GBK"/>
          <w:sz w:val="32"/>
          <w:szCs w:val="32"/>
        </w:rPr>
        <w:t>年预算减少</w:t>
      </w:r>
      <w:r>
        <w:rPr>
          <w:rFonts w:ascii="Times New Roman" w:hAnsi="Times New Roman" w:eastAsia="方正仿宋_GBK" w:cs="方正仿宋_GBK"/>
          <w:sz w:val="32"/>
          <w:szCs w:val="32"/>
        </w:rPr>
        <w:t>4037.5</w:t>
      </w:r>
      <w:r>
        <w:rPr>
          <w:rFonts w:hint="eastAsia" w:ascii="Times New Roman" w:hAnsi="Times New Roman" w:eastAsia="方正仿宋_GBK" w:cs="方正仿宋_GBK"/>
          <w:sz w:val="32"/>
          <w:szCs w:val="32"/>
        </w:rPr>
        <w:t>万元，其中：项目支出减少</w:t>
      </w:r>
      <w:r>
        <w:rPr>
          <w:rFonts w:ascii="Times New Roman" w:hAnsi="Times New Roman" w:eastAsia="方正仿宋_GBK" w:cs="Times New Roman"/>
          <w:sz w:val="32"/>
          <w:szCs w:val="32"/>
        </w:rPr>
        <w:t>4007.5</w:t>
      </w:r>
      <w:r>
        <w:rPr>
          <w:rFonts w:hint="eastAsia" w:ascii="Times New Roman" w:hAnsi="Times New Roman" w:eastAsia="方正仿宋_GBK" w:cs="方正仿宋_GBK"/>
          <w:sz w:val="32"/>
          <w:szCs w:val="32"/>
        </w:rPr>
        <w:t>万元，主要为彩票销售渠道建设、市场宣传推广项目支出，其他支出减少</w:t>
      </w:r>
      <w:r>
        <w:rPr>
          <w:rFonts w:ascii="Times New Roman" w:hAnsi="Times New Roman" w:eastAsia="方正仿宋_GBK" w:cs="Times New Roman"/>
          <w:sz w:val="32"/>
          <w:szCs w:val="32"/>
        </w:rPr>
        <w:t>30</w:t>
      </w:r>
      <w:r>
        <w:rPr>
          <w:rFonts w:hint="eastAsia" w:ascii="Times New Roman" w:hAnsi="Times New Roman" w:eastAsia="方正仿宋_GBK" w:cs="方正仿宋_GBK"/>
          <w:sz w:val="32"/>
          <w:szCs w:val="32"/>
        </w:rPr>
        <w:t>万元。</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三、机关运行经费安排情况</w:t>
      </w:r>
    </w:p>
    <w:p>
      <w:pPr>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年，我部门机关运行经费共计安排</w:t>
      </w:r>
      <w:r>
        <w:rPr>
          <w:rFonts w:ascii="Times New Roman" w:hAnsi="Times New Roman" w:eastAsia="方正仿宋_GBK" w:cs="Times New Roman"/>
          <w:sz w:val="32"/>
          <w:szCs w:val="32"/>
        </w:rPr>
        <w:t>239</w:t>
      </w:r>
      <w:r>
        <w:rPr>
          <w:rFonts w:hint="eastAsia" w:ascii="Times New Roman" w:hAnsi="Times New Roman" w:eastAsia="方正仿宋_GBK" w:cs="方正仿宋_GBK"/>
          <w:sz w:val="32"/>
          <w:szCs w:val="32"/>
        </w:rPr>
        <w:t>万元，主要用于办公费、印刷费、邮电费、差旅费、会议费、福利费、日常维修费、办公用房水电费、办公用房取暖费、办公用房物业管理费等日常运行支出。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四、财政拨款“三公”经费预算情况及增减变化原因</w:t>
      </w:r>
    </w:p>
    <w:p>
      <w:pPr>
        <w:autoSpaceDE w:val="0"/>
        <w:autoSpaceDN w:val="0"/>
        <w:adjustRightInd w:val="0"/>
        <w:ind w:left="198"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年，我部门财政拨款</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三公</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经费预算安排</w:t>
      </w:r>
      <w:r>
        <w:rPr>
          <w:rFonts w:ascii="Times New Roman" w:hAnsi="Times New Roman" w:eastAsia="方正仿宋_GBK" w:cs="Times New Roman"/>
          <w:sz w:val="32"/>
          <w:szCs w:val="32"/>
        </w:rPr>
        <w:t>65.7</w:t>
      </w:r>
      <w:r>
        <w:rPr>
          <w:rFonts w:hint="eastAsia" w:ascii="Times New Roman" w:hAnsi="Times New Roman" w:eastAsia="方正仿宋_GBK" w:cs="方正仿宋_GBK"/>
          <w:sz w:val="32"/>
          <w:szCs w:val="32"/>
        </w:rPr>
        <w:t>万元，其中因公出国（境）费</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万元；公务用车购置及运维费</w:t>
      </w:r>
      <w:r>
        <w:rPr>
          <w:rFonts w:ascii="Times New Roman" w:hAnsi="Times New Roman" w:eastAsia="方正仿宋_GBK" w:cs="Times New Roman"/>
          <w:sz w:val="32"/>
          <w:szCs w:val="32"/>
        </w:rPr>
        <w:t>60.8</w:t>
      </w:r>
      <w:r>
        <w:rPr>
          <w:rFonts w:hint="eastAsia" w:ascii="Times New Roman" w:hAnsi="Times New Roman" w:eastAsia="方正仿宋_GBK" w:cs="方正仿宋_GBK"/>
          <w:sz w:val="32"/>
          <w:szCs w:val="32"/>
        </w:rPr>
        <w:t>万元（其中：公务用车购置费为</w:t>
      </w:r>
      <w:r>
        <w:rPr>
          <w:rFonts w:ascii="Times New Roman" w:hAnsi="Times New Roman" w:eastAsia="方正仿宋_GBK" w:cs="Times New Roman"/>
          <w:sz w:val="32"/>
          <w:szCs w:val="32"/>
        </w:rPr>
        <w:t>0</w:t>
      </w:r>
      <w:r>
        <w:rPr>
          <w:rFonts w:hint="eastAsia" w:ascii="Times New Roman" w:hAnsi="Times New Roman" w:eastAsia="方正仿宋_GBK" w:cs="方正仿宋_GBK"/>
          <w:sz w:val="32"/>
          <w:szCs w:val="32"/>
        </w:rPr>
        <w:t>万元，公务用车运维费</w:t>
      </w:r>
      <w:r>
        <w:rPr>
          <w:rFonts w:ascii="Times New Roman" w:hAnsi="Times New Roman" w:eastAsia="方正仿宋_GBK" w:cs="Times New Roman"/>
          <w:sz w:val="32"/>
          <w:szCs w:val="32"/>
        </w:rPr>
        <w:t>60.8</w:t>
      </w:r>
      <w:r>
        <w:rPr>
          <w:rFonts w:hint="eastAsia" w:ascii="Times New Roman" w:hAnsi="Times New Roman" w:eastAsia="方正仿宋_GBK" w:cs="方正仿宋_GBK"/>
          <w:sz w:val="32"/>
          <w:szCs w:val="32"/>
        </w:rPr>
        <w:t>万元</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；公务接待费</w:t>
      </w:r>
      <w:r>
        <w:rPr>
          <w:rFonts w:ascii="Times New Roman" w:hAnsi="Times New Roman" w:eastAsia="方正仿宋_GBK" w:cs="Times New Roman"/>
          <w:sz w:val="32"/>
          <w:szCs w:val="32"/>
        </w:rPr>
        <w:t>4.9</w:t>
      </w:r>
      <w:r>
        <w:rPr>
          <w:rFonts w:hint="eastAsia" w:ascii="Times New Roman" w:hAnsi="Times New Roman" w:eastAsia="方正仿宋_GBK" w:cs="方正仿宋_GBK"/>
          <w:sz w:val="32"/>
          <w:szCs w:val="32"/>
        </w:rPr>
        <w:t>万元。与</w:t>
      </w:r>
      <w:r>
        <w:rPr>
          <w:rFonts w:ascii="Times New Roman" w:hAnsi="Times New Roman" w:eastAsia="方正仿宋_GBK" w:cs="Times New Roman"/>
          <w:sz w:val="32"/>
          <w:szCs w:val="32"/>
        </w:rPr>
        <w:t>2017</w:t>
      </w:r>
      <w:r>
        <w:rPr>
          <w:rFonts w:hint="eastAsia" w:ascii="Times New Roman" w:hAnsi="Times New Roman" w:eastAsia="方正仿宋_GBK" w:cs="方正仿宋_GBK"/>
          <w:sz w:val="32"/>
          <w:szCs w:val="32"/>
        </w:rPr>
        <w:t>年部门“三公”经费预算持平，无增减变化。</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五、绩效预算信息</w:t>
      </w:r>
    </w:p>
    <w:p>
      <w:pPr>
        <w:ind w:firstLine="643" w:firstLineChars="200"/>
        <w:jc w:val="left"/>
        <w:rPr>
          <w:rFonts w:ascii="楷体_GB2312" w:hAnsi="黑体" w:eastAsia="楷体_GB2312" w:cs="楷体_GB2312"/>
          <w:b/>
          <w:bCs/>
          <w:sz w:val="32"/>
          <w:szCs w:val="32"/>
        </w:rPr>
      </w:pPr>
      <w:bookmarkStart w:id="0" w:name="_Toc471398463"/>
      <w:r>
        <w:rPr>
          <w:rFonts w:hint="eastAsia" w:ascii="楷体_GB2312" w:hAnsi="黑体" w:eastAsia="楷体_GB2312" w:cs="楷体_GB2312"/>
          <w:b/>
          <w:bCs/>
          <w:sz w:val="32"/>
          <w:szCs w:val="32"/>
        </w:rPr>
        <w:t>总体绩效目标：</w:t>
      </w:r>
      <w:r>
        <w:rPr>
          <w:rFonts w:ascii="楷体_GB2312" w:hAnsi="黑体" w:eastAsia="楷体_GB2312" w:cs="楷体_GB2312"/>
          <w:b/>
          <w:bCs/>
          <w:sz w:val="32"/>
          <w:szCs w:val="32"/>
        </w:rPr>
        <w:t xml:space="preserve"> </w:t>
      </w:r>
    </w:p>
    <w:p>
      <w:pPr>
        <w:ind w:firstLine="560"/>
        <w:rPr>
          <w:rFonts w:ascii="Times New Roman" w:hAnsi="Times New Roman" w:eastAsia="方正仿宋_GBK" w:cs="Times New Roman"/>
          <w:sz w:val="32"/>
          <w:szCs w:val="32"/>
        </w:rPr>
      </w:pP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年在省民政厅、省财政厅的正确领导和大力支持下，紧紧围绕福利彩票</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扶老、助残、救孤、济困</w:t>
      </w:r>
      <w:r>
        <w:rPr>
          <w:rFonts w:ascii="Times New Roman" w:hAnsi="Times New Roman" w:eastAsia="方正仿宋_GBK" w:cs="Times New Roman"/>
          <w:sz w:val="32"/>
          <w:szCs w:val="32"/>
        </w:rPr>
        <w:t>”</w:t>
      </w:r>
      <w:r>
        <w:rPr>
          <w:rFonts w:hint="eastAsia" w:ascii="Times New Roman" w:hAnsi="Times New Roman" w:eastAsia="方正仿宋_GBK" w:cs="方正仿宋_GBK"/>
          <w:sz w:val="32"/>
          <w:szCs w:val="32"/>
        </w:rPr>
        <w:t>的发行宗旨，开展</w:t>
      </w:r>
      <w:r>
        <w:rPr>
          <w:rFonts w:hint="eastAsia" w:ascii="Times New Roman" w:hAnsi="Times New Roman" w:eastAsia="方正仿宋_GBK" w:cs="Times New Roman"/>
          <w:sz w:val="32"/>
          <w:szCs w:val="32"/>
          <w:lang w:eastAsia="zh-CN"/>
        </w:rPr>
        <w:t>“两学一做”</w:t>
      </w:r>
      <w:bookmarkStart w:id="3" w:name="_GoBack"/>
      <w:bookmarkEnd w:id="3"/>
      <w:r>
        <w:rPr>
          <w:rFonts w:hint="eastAsia" w:ascii="Times New Roman" w:hAnsi="Times New Roman" w:eastAsia="方正仿宋_GBK" w:cs="方正仿宋_GBK"/>
          <w:sz w:val="32"/>
          <w:szCs w:val="32"/>
        </w:rPr>
        <w:t>活动，全面加强党风廉政建设，严格执行国家财经政策和彩票发行销售制度，确保全省福彩发行安全运行、健康发展，销售总量力争实现</w:t>
      </w:r>
      <w:r>
        <w:rPr>
          <w:rFonts w:ascii="Times New Roman" w:hAnsi="Times New Roman" w:eastAsia="方正仿宋_GBK" w:cs="Times New Roman"/>
          <w:sz w:val="32"/>
          <w:szCs w:val="32"/>
        </w:rPr>
        <w:t>58</w:t>
      </w:r>
      <w:r>
        <w:rPr>
          <w:rFonts w:hint="eastAsia" w:ascii="Times New Roman" w:hAnsi="Times New Roman" w:eastAsia="方正仿宋_GBK" w:cs="方正仿宋_GBK"/>
          <w:sz w:val="32"/>
          <w:szCs w:val="32"/>
        </w:rPr>
        <w:t>亿元，为国家筹集更多的公益资金。</w:t>
      </w:r>
    </w:p>
    <w:p>
      <w:pPr>
        <w:adjustRightInd w:val="0"/>
        <w:snapToGrid w:val="0"/>
        <w:spacing w:line="580" w:lineRule="exact"/>
        <w:ind w:firstLine="560"/>
        <w:rPr>
          <w:rFonts w:ascii="方正楷体_GBK" w:eastAsia="方正楷体_GBK" w:cs="Times New Roman"/>
          <w:b/>
          <w:bCs/>
          <w:sz w:val="28"/>
          <w:szCs w:val="28"/>
        </w:rPr>
      </w:pPr>
      <w:r>
        <w:rPr>
          <w:rFonts w:ascii="Times New Roman" w:hAnsi="Times New Roman" w:eastAsia="方正仿宋_GBK" w:cs="Times New Roman"/>
          <w:sz w:val="32"/>
          <w:szCs w:val="32"/>
        </w:rPr>
        <w:t xml:space="preserve">    </w:t>
      </w:r>
      <w:r>
        <w:rPr>
          <w:rFonts w:hint="eastAsia" w:ascii="方正楷体_GBK" w:eastAsia="方正楷体_GBK" w:cs="方正楷体_GBK"/>
          <w:b/>
          <w:bCs/>
          <w:sz w:val="28"/>
          <w:szCs w:val="28"/>
        </w:rPr>
        <w:t>职责分类绩效目标：</w:t>
      </w:r>
    </w:p>
    <w:p>
      <w:pPr>
        <w:adjustRightInd w:val="0"/>
        <w:snapToGrid w:val="0"/>
        <w:spacing w:line="58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彩票销售管理：依据国务院《彩票管理条例》及相关政策规定，建立完善科学规范的彩票销售渠道，充分满足彩民及彩票代销者的实际需求，并积极拓宽销售渠道，更好服务各类人群便捷购彩，为彩票顺利销售打下良好渠道基础。建立完善科学、安全、稳定的彩票销售系统，准确及时完成销售数据传输及统计工作，保证彩票销售工作安全运行。推进彩票游戏创新和彩票品种结构优化，加强福利彩票形象建设和市场管理，科学谋划营销宣传和市场推广模式，增强抵御市场风险的能力，努力扩大彩票销售规模。严格按照彩票游戏规则和相关规定，及时准确归集、分配、解缴各类彩票资金。</w:t>
      </w:r>
    </w:p>
    <w:p>
      <w:pPr>
        <w:adjustRightInd w:val="0"/>
        <w:snapToGrid w:val="0"/>
        <w:spacing w:line="58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方正仿宋_GBK"/>
          <w:sz w:val="32"/>
          <w:szCs w:val="32"/>
        </w:rPr>
        <w:t>、综合事务管理：做好财务管理和资产管理、标准化建设、办公及业务用房基建及维修、设备购置、人事管理、机关党建等事务管理工作，保障机关工作高效运转。</w:t>
      </w:r>
    </w:p>
    <w:p>
      <w:pPr>
        <w:adjustRightInd w:val="0"/>
        <w:snapToGrid w:val="0"/>
        <w:spacing w:line="580" w:lineRule="exact"/>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、福彩公益品牌形象建设：提升福利彩票良好的社会形象，提高销量，为国家筹集更多的公益金，为社会福利发展做出更大的贡献。</w:t>
      </w:r>
    </w:p>
    <w:p>
      <w:pPr>
        <w:ind w:firstLine="643" w:firstLineChars="200"/>
        <w:rPr>
          <w:rFonts w:ascii="楷体_GB2312" w:hAnsi="Times New Roman" w:eastAsia="楷体_GB2312" w:cs="Times New Roman"/>
          <w:b/>
          <w:bCs/>
          <w:sz w:val="32"/>
          <w:szCs w:val="32"/>
        </w:rPr>
      </w:pPr>
      <w:r>
        <w:rPr>
          <w:rFonts w:hint="eastAsia" w:ascii="楷体_GB2312" w:hAnsi="黑体" w:eastAsia="楷体_GB2312" w:cs="楷体_GB2312"/>
          <w:b/>
          <w:bCs/>
          <w:sz w:val="32"/>
          <w:szCs w:val="32"/>
        </w:rPr>
        <w:t>部门职责及工作活动绩效目标指标：</w:t>
      </w:r>
    </w:p>
    <w:p>
      <w:pPr>
        <w:jc w:val="center"/>
        <w:outlineLvl w:val="0"/>
        <w:rPr>
          <w:rFonts w:ascii="方正小标宋_GBK" w:hAnsi="Times New Roman" w:eastAsia="方正小标宋_GBK" w:cs="Times New Roman"/>
          <w:sz w:val="32"/>
          <w:szCs w:val="32"/>
        </w:rPr>
      </w:pPr>
      <w:r>
        <w:rPr>
          <w:rFonts w:hint="eastAsia" w:ascii="方正小标宋_GBK" w:hAnsi="Times New Roman" w:eastAsia="方正小标宋_GBK" w:cs="方正小标宋_GBK"/>
          <w:sz w:val="32"/>
          <w:szCs w:val="32"/>
        </w:rPr>
        <w:t>部门职责</w:t>
      </w:r>
      <w:r>
        <w:rPr>
          <w:rFonts w:ascii="方正小标宋_GBK" w:hAnsi="Times New Roman" w:eastAsia="方正小标宋_GBK" w:cs="方正小标宋_GBK"/>
          <w:sz w:val="32"/>
          <w:szCs w:val="32"/>
        </w:rPr>
        <w:t>-</w:t>
      </w:r>
      <w:r>
        <w:rPr>
          <w:rFonts w:hint="eastAsia" w:ascii="方正小标宋_GBK" w:hAnsi="Times New Roman" w:eastAsia="方正小标宋_GBK" w:cs="方正小标宋_GBK"/>
          <w:sz w:val="32"/>
          <w:szCs w:val="32"/>
        </w:rPr>
        <w:t>工作活动绩效目标</w:t>
      </w:r>
      <w:bookmarkEnd w:id="0"/>
    </w:p>
    <w:tbl>
      <w:tblPr>
        <w:tblStyle w:val="9"/>
        <w:tblW w:w="139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cs="Times New Roman"/>
                <w:sz w:val="24"/>
                <w:szCs w:val="24"/>
              </w:rPr>
            </w:pPr>
            <w:r>
              <w:rPr>
                <w:rFonts w:ascii="方正小标宋_GBK" w:eastAsia="方正小标宋_GBK" w:cs="方正小标宋_GBK"/>
                <w:sz w:val="24"/>
                <w:szCs w:val="24"/>
              </w:rPr>
              <w:t>718</w:t>
            </w:r>
            <w:r>
              <w:rPr>
                <w:rFonts w:hint="eastAsia" w:ascii="方正小标宋_GBK" w:eastAsia="方正小标宋_GBK" w:cs="方正小标宋_GBK"/>
                <w:sz w:val="24"/>
                <w:szCs w:val="24"/>
              </w:rPr>
              <w:t>河北省福利彩票发行管理中心</w:t>
            </w:r>
          </w:p>
        </w:tc>
        <w:tc>
          <w:tcPr>
            <w:tcW w:w="2948" w:type="dxa"/>
            <w:gridSpan w:val="4"/>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sz w:val="24"/>
                <w:szCs w:val="24"/>
              </w:rPr>
            </w:pPr>
            <w:r>
              <w:rPr>
                <w:rFonts w:hint="eastAsia" w:ascii="方正书宋_GBK" w:eastAsia="方正书宋_GBK"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职责活动</w:t>
            </w:r>
          </w:p>
        </w:tc>
        <w:tc>
          <w:tcPr>
            <w:tcW w:w="1276"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年度预算数</w:t>
            </w:r>
          </w:p>
        </w:tc>
        <w:tc>
          <w:tcPr>
            <w:tcW w:w="2976"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内容描述</w:t>
            </w:r>
          </w:p>
        </w:tc>
        <w:tc>
          <w:tcPr>
            <w:tcW w:w="2976"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绩效目标</w:t>
            </w:r>
          </w:p>
        </w:tc>
        <w:tc>
          <w:tcPr>
            <w:tcW w:w="1417"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绩效指标</w:t>
            </w:r>
          </w:p>
        </w:tc>
        <w:tc>
          <w:tcPr>
            <w:tcW w:w="2948" w:type="dxa"/>
            <w:gridSpan w:val="4"/>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continue"/>
            <w:vAlign w:val="center"/>
          </w:tcPr>
          <w:p>
            <w:pPr>
              <w:spacing w:line="300" w:lineRule="exact"/>
              <w:jc w:val="left"/>
              <w:outlineLvl w:val="0"/>
              <w:rPr>
                <w:rFonts w:cs="Times New Roman"/>
              </w:rPr>
            </w:pPr>
          </w:p>
        </w:tc>
        <w:tc>
          <w:tcPr>
            <w:tcW w:w="1276" w:type="dxa"/>
            <w:vMerge w:val="continue"/>
            <w:vAlign w:val="center"/>
          </w:tcPr>
          <w:p>
            <w:pPr>
              <w:spacing w:line="300" w:lineRule="exact"/>
              <w:jc w:val="left"/>
              <w:outlineLvl w:val="0"/>
              <w:rPr>
                <w:rFonts w:cs="Times New Roman"/>
              </w:rPr>
            </w:pPr>
          </w:p>
        </w:tc>
        <w:tc>
          <w:tcPr>
            <w:tcW w:w="2976" w:type="dxa"/>
            <w:vMerge w:val="continue"/>
            <w:vAlign w:val="center"/>
          </w:tcPr>
          <w:p>
            <w:pPr>
              <w:spacing w:line="300" w:lineRule="exact"/>
              <w:jc w:val="left"/>
              <w:outlineLvl w:val="0"/>
              <w:rPr>
                <w:rFonts w:cs="Times New Roman"/>
              </w:rPr>
            </w:pPr>
          </w:p>
        </w:tc>
        <w:tc>
          <w:tcPr>
            <w:tcW w:w="2976" w:type="dxa"/>
            <w:vMerge w:val="continue"/>
            <w:vAlign w:val="center"/>
          </w:tcPr>
          <w:p>
            <w:pPr>
              <w:spacing w:line="300" w:lineRule="exact"/>
              <w:jc w:val="left"/>
              <w:outlineLvl w:val="0"/>
              <w:rPr>
                <w:rFonts w:cs="Times New Roman"/>
              </w:rPr>
            </w:pPr>
          </w:p>
        </w:tc>
        <w:tc>
          <w:tcPr>
            <w:tcW w:w="1417" w:type="dxa"/>
            <w:vMerge w:val="continue"/>
            <w:vAlign w:val="center"/>
          </w:tcPr>
          <w:p>
            <w:pPr>
              <w:spacing w:line="300" w:lineRule="exact"/>
              <w:jc w:val="left"/>
              <w:outlineLvl w:val="0"/>
              <w:rPr>
                <w:rFonts w:cs="Times New Roman"/>
              </w:rPr>
            </w:pPr>
          </w:p>
        </w:tc>
        <w:tc>
          <w:tcPr>
            <w:tcW w:w="73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优</w:t>
            </w:r>
          </w:p>
        </w:tc>
        <w:tc>
          <w:tcPr>
            <w:tcW w:w="73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良</w:t>
            </w:r>
          </w:p>
        </w:tc>
        <w:tc>
          <w:tcPr>
            <w:tcW w:w="73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中</w:t>
            </w:r>
          </w:p>
        </w:tc>
        <w:tc>
          <w:tcPr>
            <w:tcW w:w="737"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一、彩票销售管理</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16463.32</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制定全省福利彩票销售管理办法和工作规范；向福利彩票发行机构提出增加、停止彩票品种、变更彩票品种审批事项的建议；负责全省福利彩票销售系统的建设、运营和维护；负责全省福利彩票的销售系统数据管理、资金归集结算、销售渠道和场所规划、物流管理、开奖兑奖；负责组织实施全省福利彩票的形象建设、彩票代销、营销宣传、业务培训、人才队伍建设等工作。</w:t>
            </w:r>
          </w:p>
        </w:tc>
        <w:tc>
          <w:tcPr>
            <w:tcW w:w="2976" w:type="dxa"/>
            <w:vAlign w:val="center"/>
          </w:tcPr>
          <w:p>
            <w:pPr>
              <w:spacing w:line="300" w:lineRule="exact"/>
              <w:jc w:val="left"/>
              <w:rPr>
                <w:rFonts w:ascii="方正书宋_GBK" w:eastAsia="方正书宋_GBK" w:cs="Times New Roman"/>
              </w:rPr>
            </w:pPr>
            <w:r>
              <w:rPr>
                <w:rFonts w:ascii="方正书宋_GBK" w:eastAsia="方正书宋_GBK" w:cs="方正书宋_GBK"/>
              </w:rPr>
              <w:t>1</w:t>
            </w:r>
            <w:r>
              <w:rPr>
                <w:rFonts w:hint="eastAsia" w:ascii="方正书宋_GBK" w:eastAsia="方正书宋_GBK" w:cs="方正书宋_GBK"/>
              </w:rPr>
              <w:t>、依据国务院《彩票管理条例》及相关政策规定，建立完善科学规范的彩票销售渠道，充分满足彩民及彩票代销者的实际需求；研究拓宽多样式的销售渠道，更好服务各类人群便捷购彩，为彩票顺利销售打下良好销售渠道。</w:t>
            </w:r>
            <w:r>
              <w:rPr>
                <w:rFonts w:ascii="方正书宋_GBK" w:eastAsia="方正书宋_GBK" w:cs="方正书宋_GBK"/>
              </w:rPr>
              <w:t>2</w:t>
            </w:r>
            <w:r>
              <w:rPr>
                <w:rFonts w:hint="eastAsia" w:ascii="方正书宋_GBK" w:eastAsia="方正书宋_GBK" w:cs="方正书宋_GBK"/>
              </w:rPr>
              <w:t>、依照国家和地方相关政策规定，建立科学、安全、稳定的彩票销售系统，准确及时完成销售数据传输及统计工作，保证彩票销售销售工作顺利进行。</w:t>
            </w:r>
            <w:r>
              <w:rPr>
                <w:rFonts w:ascii="方正书宋_GBK" w:eastAsia="方正书宋_GBK" w:cs="方正书宋_GBK"/>
              </w:rPr>
              <w:t>3</w:t>
            </w:r>
            <w:r>
              <w:rPr>
                <w:rFonts w:hint="eastAsia" w:ascii="方正书宋_GBK" w:eastAsia="方正书宋_GBK" w:cs="方正书宋_GBK"/>
              </w:rPr>
              <w:t>、推进彩票游戏创新和彩票品种结构优化，加强福利彩票形象建设和市场管理，科学谋划营销宣传和市场推广模式，增强抵御市场风险的能力，努力扩大彩票销售规模。</w:t>
            </w:r>
            <w:r>
              <w:rPr>
                <w:rFonts w:ascii="方正书宋_GBK" w:eastAsia="方正书宋_GBK" w:cs="方正书宋_GBK"/>
              </w:rPr>
              <w:t>4</w:t>
            </w:r>
            <w:r>
              <w:rPr>
                <w:rFonts w:hint="eastAsia" w:ascii="方正书宋_GBK" w:eastAsia="方正书宋_GBK" w:cs="方正书宋_GBK"/>
              </w:rPr>
              <w:t>、严格按照彩票游戏规则和相关规定，及时准确归集、分配、解缴各类彩票资金。</w:t>
            </w:r>
          </w:p>
        </w:tc>
        <w:tc>
          <w:tcPr>
            <w:tcW w:w="1417" w:type="dxa"/>
            <w:vAlign w:val="center"/>
          </w:tcPr>
          <w:p>
            <w:pPr>
              <w:spacing w:line="300" w:lineRule="exact"/>
              <w:jc w:val="left"/>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　　彩票销售渠道建设、管理及维护</w:t>
            </w:r>
          </w:p>
        </w:tc>
        <w:tc>
          <w:tcPr>
            <w:tcW w:w="1276" w:type="dxa"/>
            <w:vMerge w:val="restart"/>
            <w:vAlign w:val="center"/>
          </w:tcPr>
          <w:p>
            <w:pPr>
              <w:spacing w:line="300" w:lineRule="exact"/>
              <w:jc w:val="left"/>
              <w:rPr>
                <w:rFonts w:ascii="方正书宋_GBK" w:eastAsia="方正书宋_GBK" w:cs="方正书宋_GBK"/>
              </w:rPr>
            </w:pPr>
            <w:r>
              <w:rPr>
                <w:rFonts w:ascii="方正书宋_GBK" w:eastAsia="方正书宋_GBK" w:cs="方正书宋_GBK"/>
              </w:rPr>
              <w:t>4911.62</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依据国务院《彩票管理条例》及相关政策规定，开展彩票销售渠道建设、管理及维护工作，确保彩票销售渠道科学规范、销售畅通。</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依据国务院《彩票管理条例》及相关政策规定，建立完善科学规范的彩票销售渠道，充分满足彩民及彩票代销者的实际需求，并积极拓宽销售渠道，更好服务各类人群便捷购彩，为彩票顺利销售打下良好渠道基础。</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站点形象建设达标率</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60%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彩票销售渠道建设覆盖率</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彩票销售电脑终端机省内人均拥有量</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0.9</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0.75</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0.5</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0.5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　　彩票销售技术系统建设、运营及维护</w:t>
            </w:r>
          </w:p>
        </w:tc>
        <w:tc>
          <w:tcPr>
            <w:tcW w:w="1276" w:type="dxa"/>
            <w:vMerge w:val="restart"/>
            <w:vAlign w:val="center"/>
          </w:tcPr>
          <w:p>
            <w:pPr>
              <w:spacing w:line="300" w:lineRule="exact"/>
              <w:jc w:val="left"/>
              <w:rPr>
                <w:rFonts w:ascii="方正书宋_GBK" w:eastAsia="方正书宋_GBK" w:cs="方正书宋_GBK"/>
              </w:rPr>
            </w:pPr>
            <w:r>
              <w:rPr>
                <w:rFonts w:ascii="方正书宋_GBK" w:eastAsia="方正书宋_GBK" w:cs="方正书宋_GBK"/>
              </w:rPr>
              <w:t>1344.00</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依据国务院《彩票管理条例》及相关政策规定，开展彩票销售建设、运营及维护技术系统工作，确保彩票技术系统安全运行。</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依照国家相关政策规定，建立完善科学、安全、稳定的彩票销售系统，准确及时完成销售数据传输及统计工作，保证彩票销售工作安全运行。</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销售事故发生数量</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方正书宋_GBK"/>
              </w:rPr>
              <w:t>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2</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销售系统维护次数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20</w:t>
            </w:r>
            <w:r>
              <w:rPr>
                <w:rFonts w:hint="eastAsia" w:ascii="方正书宋_GBK" w:eastAsia="方正书宋_GBK" w:cs="方正书宋_GBK"/>
              </w:rPr>
              <w:t>次</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15</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12</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12</w:t>
            </w:r>
            <w:r>
              <w:rPr>
                <w:rFonts w:hint="eastAsia" w:ascii="方正书宋_GBK" w:eastAsia="方正书宋_GBK" w:cs="方正书宋_GBK"/>
              </w:rPr>
              <w:t>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使用</w:t>
            </w:r>
            <w:r>
              <w:rPr>
                <w:rFonts w:ascii="方正书宋_GBK" w:eastAsia="方正书宋_GBK" w:cs="方正书宋_GBK"/>
              </w:rPr>
              <w:t>4</w:t>
            </w:r>
            <w:r>
              <w:rPr>
                <w:rFonts w:hint="eastAsia" w:ascii="方正书宋_GBK" w:eastAsia="方正书宋_GBK" w:cs="方正书宋_GBK"/>
              </w:rPr>
              <w:t>年以内的终端机比例</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　　彩票市场开发、管理及推广</w:t>
            </w:r>
          </w:p>
        </w:tc>
        <w:tc>
          <w:tcPr>
            <w:tcW w:w="1276" w:type="dxa"/>
            <w:vMerge w:val="restart"/>
            <w:vAlign w:val="center"/>
          </w:tcPr>
          <w:p>
            <w:pPr>
              <w:spacing w:line="300" w:lineRule="exact"/>
              <w:jc w:val="left"/>
              <w:rPr>
                <w:rFonts w:ascii="方正书宋_GBK" w:eastAsia="方正书宋_GBK" w:cs="方正书宋_GBK"/>
              </w:rPr>
            </w:pPr>
            <w:r>
              <w:rPr>
                <w:rFonts w:ascii="方正书宋_GBK" w:eastAsia="方正书宋_GBK" w:cs="方正书宋_GBK"/>
              </w:rPr>
              <w:t>10207.70</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依照国家和地方相关政策规定，组织实施河北省福利彩票的形象建设、彩票代销、营销宣传、业务培训、人才队伍建设及彩票研发、尾票核销等市场管理工作。</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推进彩票游戏创新和彩票品种结构优化，加强福利彩票形象建设和市场管理，科学谋划营销宣传和市场推广模式，增强抵御市场风险的能力，努力扩大彩票销售规模</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原创稿件刊载量</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40%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市场营销满意度</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彩民满意度</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80%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70%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　　彩票资金归集、分配及解缴管理</w:t>
            </w:r>
          </w:p>
        </w:tc>
        <w:tc>
          <w:tcPr>
            <w:tcW w:w="1276" w:type="dxa"/>
            <w:vMerge w:val="restart"/>
            <w:vAlign w:val="center"/>
          </w:tcPr>
          <w:p>
            <w:pPr>
              <w:spacing w:line="300" w:lineRule="exact"/>
              <w:jc w:val="left"/>
              <w:rPr>
                <w:rFonts w:ascii="方正书宋_GBK" w:eastAsia="方正书宋_GBK" w:cs="Times New Roman"/>
              </w:rPr>
            </w:pP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依照国家和地方相关政策规定，做好彩票资金归集、分配和解缴工作。</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严格按照彩票游戏规则和相关规定，及时准确归集、分配、解缴各类彩票资金。</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彩票资金解缴及时性</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按时归集解缴</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超过规定时间</w:t>
            </w:r>
            <w:r>
              <w:rPr>
                <w:rFonts w:ascii="方正书宋_GBK" w:eastAsia="方正书宋_GBK" w:cs="方正书宋_GBK"/>
              </w:rPr>
              <w:t>5</w:t>
            </w:r>
            <w:r>
              <w:rPr>
                <w:rFonts w:hint="eastAsia" w:ascii="方正书宋_GBK" w:eastAsia="方正书宋_GBK" w:cs="方正书宋_GBK"/>
              </w:rPr>
              <w:t>天以内</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超过规定时间</w:t>
            </w:r>
            <w:r>
              <w:rPr>
                <w:rFonts w:ascii="方正书宋_GBK" w:eastAsia="方正书宋_GBK" w:cs="方正书宋_GBK"/>
              </w:rPr>
              <w:t>10</w:t>
            </w:r>
            <w:r>
              <w:rPr>
                <w:rFonts w:hint="eastAsia" w:ascii="方正书宋_GBK" w:eastAsia="方正书宋_GBK" w:cs="方正书宋_GBK"/>
              </w:rPr>
              <w:t>天以内</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超过规定时间</w:t>
            </w:r>
            <w:r>
              <w:rPr>
                <w:rFonts w:ascii="方正书宋_GBK" w:eastAsia="方正书宋_GBK" w:cs="方正书宋_GBK"/>
              </w:rPr>
              <w:t>15</w:t>
            </w:r>
            <w:r>
              <w:rPr>
                <w:rFonts w:hint="eastAsia" w:ascii="方正书宋_GBK" w:eastAsia="方正书宋_GBK" w:cs="方正书宋_GBK"/>
              </w:rPr>
              <w:t>天以上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事故发生数量</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方正书宋_GBK"/>
              </w:rPr>
              <w:t>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2</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资金核算准确率</w:t>
            </w:r>
          </w:p>
        </w:tc>
        <w:tc>
          <w:tcPr>
            <w:tcW w:w="737" w:type="dxa"/>
            <w:vAlign w:val="center"/>
          </w:tcPr>
          <w:p>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方正书宋_GBK"/>
              </w:rPr>
              <w:t>99%</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方正书宋_GBK"/>
              </w:rPr>
              <w:t>98%</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二、综合事务管理</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711.00</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会议组织管理、信息化建设与维护、机关财务和资产管理、标准化建设、办公及业务用房基建及维修、设备购置、人事管理、机关党建等。</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保障单位工作正常高效运转。会议组织管理、信息化建设与维护、机关财务和资产管理、标准化建设、办公及业务用房基建及维修、设备购置、人事管理、机关党建等。</w:t>
            </w:r>
          </w:p>
        </w:tc>
        <w:tc>
          <w:tcPr>
            <w:tcW w:w="1417" w:type="dxa"/>
            <w:vAlign w:val="center"/>
          </w:tcPr>
          <w:p>
            <w:pPr>
              <w:spacing w:line="300" w:lineRule="exact"/>
              <w:jc w:val="left"/>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　　综合事务管理</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711.00</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会议组织管理、信息化建设与维护、机关财务和资产管理、标准化建设、办公及业务用房基建及维修、设备购置、人事管理、机关党建等。</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保障机关正常工作高效运转</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综合事务工作完成率</w:t>
            </w:r>
          </w:p>
        </w:tc>
        <w:tc>
          <w:tcPr>
            <w:tcW w:w="737" w:type="dxa"/>
            <w:vAlign w:val="center"/>
          </w:tcPr>
          <w:p>
            <w:pPr>
              <w:spacing w:line="300" w:lineRule="exact"/>
              <w:jc w:val="center"/>
              <w:rPr>
                <w:rFonts w:ascii="方正书宋_GBK" w:eastAsia="方正书宋_GBK" w:cs="方正书宋_GBK"/>
              </w:rPr>
            </w:pPr>
            <w:r>
              <w:rPr>
                <w:rFonts w:ascii="方正书宋_GBK" w:eastAsia="方正书宋_GBK" w:cs="方正书宋_GBK"/>
              </w:rPr>
              <w:t>100%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95%</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90%</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三、福彩公益品牌形象建设</w:t>
            </w:r>
          </w:p>
        </w:tc>
        <w:tc>
          <w:tcPr>
            <w:tcW w:w="1276" w:type="dxa"/>
            <w:vAlign w:val="center"/>
          </w:tcPr>
          <w:p>
            <w:pPr>
              <w:spacing w:line="300" w:lineRule="exact"/>
              <w:jc w:val="left"/>
              <w:rPr>
                <w:rFonts w:ascii="方正书宋_GBK" w:eastAsia="方正书宋_GBK" w:cs="方正书宋_GBK"/>
              </w:rPr>
            </w:pPr>
            <w:r>
              <w:rPr>
                <w:rFonts w:ascii="方正书宋_GBK" w:eastAsia="方正书宋_GBK" w:cs="方正书宋_GBK"/>
              </w:rPr>
              <w:t>1500.00</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对优秀寒门学子、生活贫困的家庭或个人、因公牺牲的公安英烈等特殊群体予以关爱和资助。</w:t>
            </w:r>
          </w:p>
        </w:tc>
        <w:tc>
          <w:tcPr>
            <w:tcW w:w="2976"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使用福彩公益金开展系列公益活动，对特定弱势群体予以资助，帮助他们解决或部分解决生活中的实际困难，塑造福彩公益品牌形象，提高销售总量。</w:t>
            </w:r>
          </w:p>
        </w:tc>
        <w:tc>
          <w:tcPr>
            <w:tcW w:w="1417" w:type="dxa"/>
            <w:vAlign w:val="center"/>
          </w:tcPr>
          <w:p>
            <w:pPr>
              <w:spacing w:line="300" w:lineRule="exact"/>
              <w:jc w:val="left"/>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c>
          <w:tcPr>
            <w:tcW w:w="737" w:type="dxa"/>
            <w:vAlign w:val="center"/>
          </w:tcPr>
          <w:p>
            <w:pPr>
              <w:spacing w:line="300" w:lineRule="exact"/>
              <w:jc w:val="center"/>
              <w:rPr>
                <w:rFonts w:ascii="方正书宋_GBK" w:eastAsia="方正书宋_GBK"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vAlign w:val="center"/>
          </w:tcPr>
          <w:p>
            <w:pPr>
              <w:spacing w:line="300" w:lineRule="exact"/>
              <w:jc w:val="left"/>
              <w:rPr>
                <w:rFonts w:ascii="方正书宋_GBK" w:eastAsia="方正书宋_GBK" w:cs="Times New Roman"/>
                <w:b/>
                <w:bCs/>
              </w:rPr>
            </w:pPr>
            <w:r>
              <w:rPr>
                <w:rFonts w:hint="eastAsia" w:ascii="方正书宋_GBK" w:eastAsia="方正书宋_GBK" w:cs="方正书宋_GBK"/>
                <w:b/>
                <w:bCs/>
              </w:rPr>
              <w:t>　　福彩爱心公益活动</w:t>
            </w:r>
          </w:p>
        </w:tc>
        <w:tc>
          <w:tcPr>
            <w:tcW w:w="1276" w:type="dxa"/>
            <w:vMerge w:val="restart"/>
            <w:vAlign w:val="center"/>
          </w:tcPr>
          <w:p>
            <w:pPr>
              <w:spacing w:line="300" w:lineRule="exact"/>
              <w:jc w:val="left"/>
              <w:rPr>
                <w:rFonts w:ascii="方正书宋_GBK" w:eastAsia="方正书宋_GBK" w:cs="方正书宋_GBK"/>
              </w:rPr>
            </w:pPr>
            <w:r>
              <w:rPr>
                <w:rFonts w:ascii="方正书宋_GBK" w:eastAsia="方正书宋_GBK" w:cs="方正书宋_GBK"/>
              </w:rPr>
              <w:t>1500.00</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开展“福彩献真情、爱心助学子”、“福彩非常帮助”和“祭公安英烈、献福彩真情”等公益活动，帮助贫困学生上大学，对特定的弱势群体予以资助，帮助他们解决生活中的实际困难。</w:t>
            </w:r>
          </w:p>
        </w:tc>
        <w:tc>
          <w:tcPr>
            <w:tcW w:w="2976" w:type="dxa"/>
            <w:vMerge w:val="restart"/>
            <w:vAlign w:val="center"/>
          </w:tcPr>
          <w:p>
            <w:pPr>
              <w:spacing w:line="300" w:lineRule="exact"/>
              <w:jc w:val="left"/>
              <w:rPr>
                <w:rFonts w:ascii="方正书宋_GBK" w:eastAsia="方正书宋_GBK" w:cs="Times New Roman"/>
              </w:rPr>
            </w:pPr>
            <w:r>
              <w:rPr>
                <w:rFonts w:hint="eastAsia" w:ascii="方正书宋_GBK" w:eastAsia="方正书宋_GBK" w:cs="方正书宋_GBK"/>
              </w:rPr>
              <w:t>体现党和政府对弱势群体的关怀，进一步提升福利彩票良好的社会形象，提高销量，为国家筹集更多的公益金，为社会发展做出更大的贡献。</w:t>
            </w: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开展公益活动次数</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3</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方正书宋_GBK"/>
              </w:rPr>
              <w:t>2</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方正书宋_GBK"/>
              </w:rPr>
              <w:t>1</w:t>
            </w:r>
          </w:p>
        </w:tc>
        <w:tc>
          <w:tcPr>
            <w:tcW w:w="737" w:type="dxa"/>
            <w:vAlign w:val="center"/>
          </w:tcPr>
          <w:p>
            <w:pPr>
              <w:spacing w:line="300" w:lineRule="exact"/>
              <w:jc w:val="center"/>
              <w:rPr>
                <w:rFonts w:ascii="方正书宋_GBK" w:eastAsia="方正书宋_GBK" w:cs="Times New Roman"/>
              </w:rPr>
            </w:pPr>
            <w:r>
              <w:rPr>
                <w:rFonts w:ascii="方正书宋_GBK" w:eastAsia="方正书宋_GBK" w:cs="方正书宋_GBK"/>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vAlign w:val="center"/>
          </w:tcPr>
          <w:p>
            <w:pPr>
              <w:spacing w:line="300" w:lineRule="exact"/>
              <w:jc w:val="left"/>
              <w:rPr>
                <w:rFonts w:ascii="方正书宋_GBK" w:eastAsia="方正书宋_GBK" w:cs="Times New Roman"/>
                <w:b/>
                <w:bCs/>
              </w:rPr>
            </w:pPr>
          </w:p>
        </w:tc>
        <w:tc>
          <w:tcPr>
            <w:tcW w:w="12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2976" w:type="dxa"/>
            <w:vMerge w:val="continue"/>
            <w:vAlign w:val="center"/>
          </w:tcPr>
          <w:p>
            <w:pPr>
              <w:spacing w:line="300" w:lineRule="exact"/>
              <w:jc w:val="left"/>
              <w:rPr>
                <w:rFonts w:ascii="方正书宋_GBK" w:eastAsia="方正书宋_GBK" w:cs="Times New Roman"/>
              </w:rPr>
            </w:pPr>
          </w:p>
        </w:tc>
        <w:tc>
          <w:tcPr>
            <w:tcW w:w="141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资助弱势群体人数</w:t>
            </w:r>
          </w:p>
        </w:tc>
        <w:tc>
          <w:tcPr>
            <w:tcW w:w="737" w:type="dxa"/>
            <w:vAlign w:val="center"/>
          </w:tcPr>
          <w:p>
            <w:pPr>
              <w:spacing w:line="300" w:lineRule="exact"/>
              <w:jc w:val="center"/>
              <w:rPr>
                <w:rFonts w:ascii="方正书宋_GBK" w:eastAsia="方正书宋_GBK" w:cs="方正书宋_GBK"/>
              </w:rPr>
            </w:pPr>
            <w:r>
              <w:rPr>
                <w:rFonts w:hint="eastAsia" w:ascii="方正书宋_GBK" w:eastAsia="方正书宋_GBK" w:cs="方正书宋_GBK"/>
              </w:rPr>
              <w:t>≥</w:t>
            </w:r>
            <w:r>
              <w:rPr>
                <w:rFonts w:ascii="方正书宋_GBK" w:eastAsia="方正书宋_GBK" w:cs="方正书宋_GBK"/>
              </w:rPr>
              <w:t>1500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1200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1000</w:t>
            </w:r>
          </w:p>
        </w:tc>
        <w:tc>
          <w:tcPr>
            <w:tcW w:w="737" w:type="dxa"/>
            <w:vAlign w:val="center"/>
          </w:tcPr>
          <w:p>
            <w:pPr>
              <w:spacing w:line="300" w:lineRule="exact"/>
              <w:jc w:val="center"/>
              <w:rPr>
                <w:rFonts w:ascii="方正书宋_GBK" w:eastAsia="方正书宋_GBK" w:cs="Times New Roman"/>
              </w:rPr>
            </w:pPr>
            <w:r>
              <w:rPr>
                <w:rFonts w:hint="eastAsia" w:ascii="方正书宋_GBK" w:eastAsia="方正书宋_GBK" w:cs="方正书宋_GBK"/>
              </w:rPr>
              <w:t>＜</w:t>
            </w:r>
            <w:r>
              <w:rPr>
                <w:rFonts w:ascii="方正书宋_GBK" w:eastAsia="方正书宋_GBK" w:cs="方正书宋_GBK"/>
              </w:rPr>
              <w:t>1000</w:t>
            </w:r>
          </w:p>
        </w:tc>
      </w:tr>
    </w:tbl>
    <w:p>
      <w:pPr>
        <w:jc w:val="center"/>
        <w:outlineLvl w:val="0"/>
        <w:rPr>
          <w:rFonts w:ascii="方正小标宋_GBK" w:hAnsi="Times New Roman" w:eastAsia="方正小标宋_GBK" w:cs="Times New Roman"/>
          <w:sz w:val="32"/>
          <w:szCs w:val="32"/>
        </w:rPr>
      </w:pPr>
    </w:p>
    <w:p>
      <w:pPr>
        <w:autoSpaceDE w:val="0"/>
        <w:autoSpaceDN w:val="0"/>
        <w:adjustRightInd w:val="0"/>
        <w:ind w:left="198" w:firstLine="640" w:firstLineChars="200"/>
        <w:jc w:val="left"/>
        <w:rPr>
          <w:rFonts w:ascii="黑体" w:hAnsi="黑体" w:eastAsia="黑体" w:cs="Times New Roman"/>
          <w:sz w:val="32"/>
          <w:szCs w:val="32"/>
        </w:rPr>
      </w:pPr>
      <w:bookmarkStart w:id="1" w:name="_Toc471398468"/>
      <w:r>
        <w:rPr>
          <w:rFonts w:hint="eastAsia" w:ascii="黑体" w:hAnsi="黑体" w:eastAsia="黑体" w:cs="黑体"/>
          <w:sz w:val="32"/>
          <w:szCs w:val="32"/>
        </w:rPr>
        <w:t>六、政府采购预算情况</w:t>
      </w:r>
    </w:p>
    <w:p>
      <w:pPr>
        <w:ind w:firstLine="800" w:firstLineChars="250"/>
        <w:outlineLvl w:val="0"/>
        <w:rPr>
          <w:rFonts w:ascii="Times New Roman" w:hAnsi="Times New Roman" w:eastAsia="方正仿宋_GBK" w:cs="Times New Roman"/>
          <w:sz w:val="32"/>
          <w:szCs w:val="32"/>
        </w:rPr>
      </w:pPr>
      <w:r>
        <w:rPr>
          <w:rFonts w:ascii="Times New Roman" w:hAnsi="Times New Roman" w:eastAsia="方正仿宋_GBK" w:cs="Times New Roman"/>
          <w:sz w:val="32"/>
          <w:szCs w:val="32"/>
        </w:rPr>
        <w:t>2018</w:t>
      </w:r>
      <w:r>
        <w:rPr>
          <w:rFonts w:hint="eastAsia" w:ascii="Times New Roman" w:hAnsi="Times New Roman" w:eastAsia="方正仿宋_GBK" w:cs="方正仿宋_GBK"/>
          <w:sz w:val="32"/>
          <w:szCs w:val="32"/>
        </w:rPr>
        <w:t>年，我单位安排政府采购预算</w:t>
      </w:r>
      <w:r>
        <w:rPr>
          <w:rFonts w:ascii="Times New Roman" w:hAnsi="Times New Roman" w:eastAsia="方正仿宋_GBK" w:cs="Times New Roman"/>
          <w:sz w:val="32"/>
          <w:szCs w:val="32"/>
        </w:rPr>
        <w:t>12380.32</w:t>
      </w:r>
      <w:r>
        <w:rPr>
          <w:rFonts w:hint="eastAsia" w:ascii="Times New Roman" w:hAnsi="Times New Roman" w:eastAsia="方正仿宋_GBK" w:cs="方正仿宋_GBK"/>
          <w:sz w:val="32"/>
          <w:szCs w:val="32"/>
        </w:rPr>
        <w:t>万元。具体内容见下表。</w:t>
      </w:r>
    </w:p>
    <w:p>
      <w:pPr>
        <w:jc w:val="center"/>
        <w:outlineLvl w:val="0"/>
        <w:rPr>
          <w:rFonts w:ascii="方正小标宋_GBK" w:eastAsia="方正小标宋_GBK" w:cs="Times New Roman"/>
          <w:sz w:val="32"/>
          <w:szCs w:val="32"/>
        </w:rPr>
      </w:pPr>
      <w:bookmarkStart w:id="2" w:name="_Toc503509656"/>
    </w:p>
    <w:p>
      <w:pPr>
        <w:jc w:val="center"/>
        <w:outlineLvl w:val="0"/>
        <w:rPr>
          <w:rFonts w:ascii="方正小标宋_GBK" w:eastAsia="方正小标宋_GBK" w:cs="Times New Roman"/>
          <w:sz w:val="32"/>
          <w:szCs w:val="32"/>
        </w:rPr>
      </w:pPr>
    </w:p>
    <w:p>
      <w:pPr>
        <w:jc w:val="center"/>
        <w:outlineLvl w:val="0"/>
        <w:rPr>
          <w:rFonts w:ascii="方正小标宋_GBK" w:eastAsia="方正小标宋_GBK" w:cs="Times New Roman"/>
          <w:sz w:val="32"/>
          <w:szCs w:val="32"/>
        </w:rPr>
      </w:pPr>
      <w:r>
        <w:rPr>
          <w:rFonts w:hint="eastAsia" w:ascii="方正小标宋_GBK" w:eastAsia="方正小标宋_GBK" w:cs="方正小标宋_GBK"/>
          <w:sz w:val="32"/>
          <w:szCs w:val="32"/>
        </w:rPr>
        <w:t>部门政府采购预算</w:t>
      </w:r>
      <w:bookmarkEnd w:id="2"/>
    </w:p>
    <w:tbl>
      <w:tblPr>
        <w:tblStyle w:val="9"/>
        <w:tblW w:w="145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94"/>
        <w:gridCol w:w="976"/>
        <w:gridCol w:w="789"/>
        <w:gridCol w:w="1524"/>
        <w:gridCol w:w="607"/>
        <w:gridCol w:w="976"/>
        <w:gridCol w:w="976"/>
        <w:gridCol w:w="1093"/>
        <w:gridCol w:w="1093"/>
        <w:gridCol w:w="754"/>
        <w:gridCol w:w="1093"/>
        <w:gridCol w:w="812"/>
        <w:gridCol w:w="812"/>
        <w:gridCol w:w="76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8142" w:type="dxa"/>
            <w:gridSpan w:val="7"/>
            <w:tcBorders>
              <w:top w:val="single" w:color="FFFFFF" w:sz="6" w:space="0"/>
              <w:left w:val="single" w:color="FFFFFF" w:sz="6" w:space="0"/>
              <w:right w:val="single" w:color="FFFFFF" w:sz="6" w:space="0"/>
            </w:tcBorders>
            <w:vAlign w:val="center"/>
          </w:tcPr>
          <w:p>
            <w:pPr>
              <w:spacing w:line="300" w:lineRule="exact"/>
              <w:jc w:val="left"/>
              <w:rPr>
                <w:rFonts w:ascii="方正小标宋_GBK" w:eastAsia="方正小标宋_GBK" w:cs="Times New Roman"/>
                <w:sz w:val="24"/>
                <w:szCs w:val="24"/>
              </w:rPr>
            </w:pPr>
            <w:r>
              <w:rPr>
                <w:rFonts w:ascii="方正小标宋_GBK" w:eastAsia="方正小标宋_GBK" w:cs="方正小标宋_GBK"/>
                <w:sz w:val="24"/>
                <w:szCs w:val="24"/>
              </w:rPr>
              <w:t>718</w:t>
            </w:r>
            <w:r>
              <w:rPr>
                <w:rFonts w:hint="eastAsia" w:ascii="方正小标宋_GBK" w:eastAsia="方正小标宋_GBK" w:cs="方正小标宋_GBK"/>
                <w:sz w:val="24"/>
                <w:szCs w:val="24"/>
              </w:rPr>
              <w:t>河北省福利彩票发行管理中心</w:t>
            </w:r>
          </w:p>
        </w:tc>
        <w:tc>
          <w:tcPr>
            <w:tcW w:w="6426" w:type="dxa"/>
            <w:gridSpan w:val="7"/>
            <w:tcBorders>
              <w:top w:val="single" w:color="FFFFFF" w:sz="6" w:space="0"/>
              <w:left w:val="single" w:color="FFFFFF" w:sz="6" w:space="0"/>
              <w:right w:val="single" w:color="FFFFFF" w:sz="6" w:space="0"/>
            </w:tcBorders>
            <w:vAlign w:val="center"/>
          </w:tcPr>
          <w:p>
            <w:pPr>
              <w:spacing w:line="300" w:lineRule="exact"/>
              <w:jc w:val="right"/>
              <w:rPr>
                <w:rFonts w:ascii="方正书宋_GBK" w:eastAsia="方正书宋_GBK" w:cs="Times New Roman"/>
                <w:sz w:val="24"/>
                <w:szCs w:val="24"/>
              </w:rPr>
            </w:pPr>
            <w:r>
              <w:rPr>
                <w:rFonts w:hint="eastAsia" w:ascii="方正书宋_GBK" w:eastAsia="方正书宋_GBK" w:cs="方正书宋_GBK"/>
                <w:sz w:val="24"/>
                <w:szCs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3270" w:type="dxa"/>
            <w:gridSpan w:val="2"/>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政府采购项目来源</w:t>
            </w:r>
          </w:p>
        </w:tc>
        <w:tc>
          <w:tcPr>
            <w:tcW w:w="789"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采购物品名称</w:t>
            </w:r>
          </w:p>
        </w:tc>
        <w:tc>
          <w:tcPr>
            <w:tcW w:w="152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政府采购目录序号</w:t>
            </w:r>
          </w:p>
        </w:tc>
        <w:tc>
          <w:tcPr>
            <w:tcW w:w="607"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数量</w:t>
            </w:r>
            <w:r>
              <w:rPr>
                <w:rFonts w:ascii="方正书宋_GBK" w:eastAsia="方正书宋_GBK" w:cs="方正书宋_GBK"/>
                <w:b/>
                <w:bCs/>
              </w:rPr>
              <w:t xml:space="preserve">  </w:t>
            </w:r>
            <w:r>
              <w:rPr>
                <w:rFonts w:hint="eastAsia" w:ascii="方正书宋_GBK" w:eastAsia="方正书宋_GBK" w:cs="方正书宋_GBK"/>
                <w:b/>
                <w:bCs/>
              </w:rPr>
              <w:t>单位</w:t>
            </w:r>
          </w:p>
        </w:tc>
        <w:tc>
          <w:tcPr>
            <w:tcW w:w="976"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数量</w:t>
            </w:r>
          </w:p>
        </w:tc>
        <w:tc>
          <w:tcPr>
            <w:tcW w:w="976"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单价</w:t>
            </w:r>
          </w:p>
        </w:tc>
        <w:tc>
          <w:tcPr>
            <w:tcW w:w="6426" w:type="dxa"/>
            <w:gridSpan w:val="7"/>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294"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项目名称</w:t>
            </w:r>
          </w:p>
        </w:tc>
        <w:tc>
          <w:tcPr>
            <w:tcW w:w="976"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预算资金</w:t>
            </w:r>
          </w:p>
        </w:tc>
        <w:tc>
          <w:tcPr>
            <w:tcW w:w="789" w:type="dxa"/>
            <w:vMerge w:val="continue"/>
            <w:vAlign w:val="center"/>
          </w:tcPr>
          <w:p>
            <w:pPr>
              <w:spacing w:line="300" w:lineRule="exact"/>
              <w:jc w:val="left"/>
              <w:outlineLvl w:val="0"/>
              <w:rPr>
                <w:rFonts w:cs="Times New Roman"/>
              </w:rPr>
            </w:pPr>
          </w:p>
        </w:tc>
        <w:tc>
          <w:tcPr>
            <w:tcW w:w="1524" w:type="dxa"/>
            <w:vMerge w:val="continue"/>
            <w:vAlign w:val="center"/>
          </w:tcPr>
          <w:p>
            <w:pPr>
              <w:spacing w:line="300" w:lineRule="exact"/>
              <w:jc w:val="left"/>
              <w:outlineLvl w:val="0"/>
              <w:rPr>
                <w:rFonts w:cs="Times New Roman"/>
              </w:rPr>
            </w:pPr>
          </w:p>
        </w:tc>
        <w:tc>
          <w:tcPr>
            <w:tcW w:w="607" w:type="dxa"/>
            <w:vMerge w:val="continue"/>
            <w:vAlign w:val="center"/>
          </w:tcPr>
          <w:p>
            <w:pPr>
              <w:spacing w:line="300" w:lineRule="exact"/>
              <w:jc w:val="left"/>
              <w:outlineLvl w:val="0"/>
              <w:rPr>
                <w:rFonts w:cs="Times New Roman"/>
              </w:rPr>
            </w:pPr>
          </w:p>
        </w:tc>
        <w:tc>
          <w:tcPr>
            <w:tcW w:w="976" w:type="dxa"/>
            <w:vMerge w:val="continue"/>
            <w:vAlign w:val="center"/>
          </w:tcPr>
          <w:p>
            <w:pPr>
              <w:spacing w:line="300" w:lineRule="exact"/>
              <w:jc w:val="left"/>
              <w:outlineLvl w:val="0"/>
              <w:rPr>
                <w:rFonts w:cs="Times New Roman"/>
              </w:rPr>
            </w:pPr>
          </w:p>
        </w:tc>
        <w:tc>
          <w:tcPr>
            <w:tcW w:w="976" w:type="dxa"/>
            <w:vMerge w:val="continue"/>
            <w:vAlign w:val="center"/>
          </w:tcPr>
          <w:p>
            <w:pPr>
              <w:spacing w:line="300" w:lineRule="exact"/>
              <w:jc w:val="left"/>
              <w:outlineLvl w:val="0"/>
              <w:rPr>
                <w:rFonts w:cs="Times New Roman"/>
              </w:rPr>
            </w:pPr>
          </w:p>
        </w:tc>
        <w:tc>
          <w:tcPr>
            <w:tcW w:w="1093"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总计</w:t>
            </w:r>
          </w:p>
        </w:tc>
        <w:tc>
          <w:tcPr>
            <w:tcW w:w="4564" w:type="dxa"/>
            <w:gridSpan w:val="5"/>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当年部门预算安排资金</w:t>
            </w:r>
          </w:p>
        </w:tc>
        <w:tc>
          <w:tcPr>
            <w:tcW w:w="769" w:type="dxa"/>
            <w:vMerge w:val="restart"/>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294" w:type="dxa"/>
            <w:vMerge w:val="continue"/>
            <w:vAlign w:val="center"/>
          </w:tcPr>
          <w:p>
            <w:pPr>
              <w:spacing w:line="300" w:lineRule="exact"/>
              <w:jc w:val="left"/>
              <w:outlineLvl w:val="0"/>
              <w:rPr>
                <w:rFonts w:cs="Times New Roman"/>
              </w:rPr>
            </w:pPr>
          </w:p>
        </w:tc>
        <w:tc>
          <w:tcPr>
            <w:tcW w:w="976" w:type="dxa"/>
            <w:vMerge w:val="continue"/>
            <w:vAlign w:val="center"/>
          </w:tcPr>
          <w:p>
            <w:pPr>
              <w:spacing w:line="300" w:lineRule="exact"/>
              <w:jc w:val="left"/>
              <w:outlineLvl w:val="0"/>
              <w:rPr>
                <w:rFonts w:cs="Times New Roman"/>
              </w:rPr>
            </w:pPr>
          </w:p>
        </w:tc>
        <w:tc>
          <w:tcPr>
            <w:tcW w:w="789" w:type="dxa"/>
            <w:vMerge w:val="continue"/>
            <w:vAlign w:val="center"/>
          </w:tcPr>
          <w:p>
            <w:pPr>
              <w:spacing w:line="300" w:lineRule="exact"/>
              <w:jc w:val="left"/>
              <w:outlineLvl w:val="0"/>
              <w:rPr>
                <w:rFonts w:cs="Times New Roman"/>
              </w:rPr>
            </w:pPr>
          </w:p>
        </w:tc>
        <w:tc>
          <w:tcPr>
            <w:tcW w:w="1524" w:type="dxa"/>
            <w:vMerge w:val="continue"/>
            <w:vAlign w:val="center"/>
          </w:tcPr>
          <w:p>
            <w:pPr>
              <w:spacing w:line="300" w:lineRule="exact"/>
              <w:jc w:val="left"/>
              <w:outlineLvl w:val="0"/>
              <w:rPr>
                <w:rFonts w:cs="Times New Roman"/>
              </w:rPr>
            </w:pPr>
          </w:p>
        </w:tc>
        <w:tc>
          <w:tcPr>
            <w:tcW w:w="607" w:type="dxa"/>
            <w:vMerge w:val="continue"/>
            <w:vAlign w:val="center"/>
          </w:tcPr>
          <w:p>
            <w:pPr>
              <w:spacing w:line="300" w:lineRule="exact"/>
              <w:jc w:val="left"/>
              <w:outlineLvl w:val="0"/>
              <w:rPr>
                <w:rFonts w:cs="Times New Roman"/>
              </w:rPr>
            </w:pPr>
          </w:p>
        </w:tc>
        <w:tc>
          <w:tcPr>
            <w:tcW w:w="976" w:type="dxa"/>
            <w:vMerge w:val="continue"/>
            <w:vAlign w:val="center"/>
          </w:tcPr>
          <w:p>
            <w:pPr>
              <w:spacing w:line="300" w:lineRule="exact"/>
              <w:jc w:val="left"/>
              <w:outlineLvl w:val="0"/>
              <w:rPr>
                <w:rFonts w:cs="Times New Roman"/>
              </w:rPr>
            </w:pPr>
          </w:p>
        </w:tc>
        <w:tc>
          <w:tcPr>
            <w:tcW w:w="976" w:type="dxa"/>
            <w:vMerge w:val="continue"/>
            <w:vAlign w:val="center"/>
          </w:tcPr>
          <w:p>
            <w:pPr>
              <w:spacing w:line="300" w:lineRule="exact"/>
              <w:jc w:val="left"/>
              <w:outlineLvl w:val="0"/>
              <w:rPr>
                <w:rFonts w:cs="Times New Roman"/>
              </w:rPr>
            </w:pPr>
          </w:p>
        </w:tc>
        <w:tc>
          <w:tcPr>
            <w:tcW w:w="1093" w:type="dxa"/>
            <w:vMerge w:val="continue"/>
            <w:vAlign w:val="center"/>
          </w:tcPr>
          <w:p>
            <w:pPr>
              <w:spacing w:line="300" w:lineRule="exact"/>
              <w:jc w:val="left"/>
              <w:outlineLvl w:val="0"/>
              <w:rPr>
                <w:rFonts w:cs="Times New Roman"/>
              </w:rPr>
            </w:pPr>
          </w:p>
        </w:tc>
        <w:tc>
          <w:tcPr>
            <w:tcW w:w="1093"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合计</w:t>
            </w:r>
          </w:p>
        </w:tc>
        <w:tc>
          <w:tcPr>
            <w:tcW w:w="75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一般公共预算拨款</w:t>
            </w:r>
          </w:p>
        </w:tc>
        <w:tc>
          <w:tcPr>
            <w:tcW w:w="1093"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基金预算拨款</w:t>
            </w:r>
          </w:p>
        </w:tc>
        <w:tc>
          <w:tcPr>
            <w:tcW w:w="812"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财政专户核拨</w:t>
            </w:r>
          </w:p>
        </w:tc>
        <w:tc>
          <w:tcPr>
            <w:tcW w:w="812"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其他来源收入</w:t>
            </w:r>
          </w:p>
        </w:tc>
        <w:tc>
          <w:tcPr>
            <w:tcW w:w="769" w:type="dxa"/>
            <w:vMerge w:val="continue"/>
            <w:vAlign w:val="center"/>
          </w:tcPr>
          <w:p>
            <w:pPr>
              <w:spacing w:line="300" w:lineRule="exact"/>
              <w:jc w:val="left"/>
              <w:outlineLvl w:val="0"/>
              <w:rPr>
                <w:rFonts w:cs="Times New Roma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合　计</w:t>
            </w:r>
          </w:p>
        </w:tc>
        <w:tc>
          <w:tcPr>
            <w:tcW w:w="976" w:type="dxa"/>
            <w:vAlign w:val="center"/>
          </w:tcPr>
          <w:p>
            <w:pPr>
              <w:spacing w:line="300" w:lineRule="exact"/>
              <w:jc w:val="right"/>
              <w:rPr>
                <w:rFonts w:ascii="方正书宋_GBK" w:eastAsia="方正书宋_GBK" w:cs="Times New Roman"/>
                <w:b/>
                <w:bCs/>
              </w:rPr>
            </w:pPr>
          </w:p>
        </w:tc>
        <w:tc>
          <w:tcPr>
            <w:tcW w:w="789" w:type="dxa"/>
            <w:vAlign w:val="center"/>
          </w:tcPr>
          <w:p>
            <w:pPr>
              <w:spacing w:line="300" w:lineRule="exact"/>
              <w:jc w:val="left"/>
              <w:rPr>
                <w:rFonts w:ascii="方正书宋_GBK" w:eastAsia="方正书宋_GBK" w:cs="Times New Roman"/>
                <w:b/>
                <w:bCs/>
              </w:rPr>
            </w:pPr>
          </w:p>
        </w:tc>
        <w:tc>
          <w:tcPr>
            <w:tcW w:w="1524" w:type="dxa"/>
            <w:vAlign w:val="center"/>
          </w:tcPr>
          <w:p>
            <w:pPr>
              <w:spacing w:line="300" w:lineRule="exact"/>
              <w:jc w:val="left"/>
              <w:rPr>
                <w:rFonts w:ascii="方正书宋_GBK" w:eastAsia="方正书宋_GBK" w:cs="Times New Roman"/>
                <w:b/>
                <w:bCs/>
              </w:rPr>
            </w:pPr>
          </w:p>
        </w:tc>
        <w:tc>
          <w:tcPr>
            <w:tcW w:w="607" w:type="dxa"/>
            <w:vAlign w:val="center"/>
          </w:tcPr>
          <w:p>
            <w:pPr>
              <w:spacing w:line="300" w:lineRule="exact"/>
              <w:jc w:val="left"/>
              <w:rPr>
                <w:rFonts w:ascii="方正书宋_GBK" w:eastAsia="方正书宋_GBK" w:cs="Times New Roman"/>
                <w:b/>
                <w:bCs/>
              </w:rPr>
            </w:pPr>
          </w:p>
        </w:tc>
        <w:tc>
          <w:tcPr>
            <w:tcW w:w="976" w:type="dxa"/>
            <w:vAlign w:val="center"/>
          </w:tcPr>
          <w:p>
            <w:pPr>
              <w:spacing w:line="300" w:lineRule="exact"/>
              <w:jc w:val="right"/>
              <w:rPr>
                <w:rFonts w:ascii="方正书宋_GBK" w:eastAsia="方正书宋_GBK" w:cs="Times New Roman"/>
                <w:b/>
                <w:bCs/>
              </w:rPr>
            </w:pPr>
          </w:p>
        </w:tc>
        <w:tc>
          <w:tcPr>
            <w:tcW w:w="976" w:type="dxa"/>
            <w:vAlign w:val="center"/>
          </w:tcPr>
          <w:p>
            <w:pPr>
              <w:spacing w:line="300" w:lineRule="exact"/>
              <w:jc w:val="right"/>
              <w:rPr>
                <w:rFonts w:ascii="方正书宋_GBK" w:eastAsia="方正书宋_GBK" w:cs="Times New Roman"/>
                <w:b/>
                <w:bCs/>
              </w:rPr>
            </w:pPr>
          </w:p>
        </w:tc>
        <w:tc>
          <w:tcPr>
            <w:tcW w:w="1093" w:type="dxa"/>
            <w:vAlign w:val="center"/>
          </w:tcPr>
          <w:p>
            <w:pPr>
              <w:spacing w:line="300" w:lineRule="exact"/>
              <w:jc w:val="right"/>
              <w:rPr>
                <w:rFonts w:ascii="方正书宋_GBK" w:eastAsia="方正书宋_GBK" w:cs="方正书宋_GBK"/>
                <w:b/>
                <w:bCs/>
              </w:rPr>
            </w:pPr>
            <w:r>
              <w:rPr>
                <w:rFonts w:ascii="方正书宋_GBK" w:eastAsia="方正书宋_GBK" w:cs="方正书宋_GBK"/>
                <w:b/>
                <w:bCs/>
              </w:rPr>
              <w:t>12380.32</w:t>
            </w:r>
          </w:p>
        </w:tc>
        <w:tc>
          <w:tcPr>
            <w:tcW w:w="1093" w:type="dxa"/>
            <w:vAlign w:val="center"/>
          </w:tcPr>
          <w:p>
            <w:pPr>
              <w:spacing w:line="300" w:lineRule="exact"/>
              <w:jc w:val="right"/>
              <w:rPr>
                <w:rFonts w:ascii="方正书宋_GBK" w:eastAsia="方正书宋_GBK" w:cs="方正书宋_GBK"/>
                <w:b/>
                <w:bCs/>
              </w:rPr>
            </w:pPr>
            <w:r>
              <w:rPr>
                <w:rFonts w:ascii="方正书宋_GBK" w:eastAsia="方正书宋_GBK" w:cs="方正书宋_GBK"/>
                <w:b/>
                <w:bCs/>
              </w:rPr>
              <w:t>12380.32</w:t>
            </w:r>
          </w:p>
        </w:tc>
        <w:tc>
          <w:tcPr>
            <w:tcW w:w="754" w:type="dxa"/>
            <w:vAlign w:val="center"/>
          </w:tcPr>
          <w:p>
            <w:pPr>
              <w:spacing w:line="300" w:lineRule="exact"/>
              <w:jc w:val="right"/>
              <w:rPr>
                <w:rFonts w:ascii="方正书宋_GBK" w:eastAsia="方正书宋_GBK" w:cs="方正书宋_GBK"/>
                <w:b/>
                <w:bCs/>
              </w:rPr>
            </w:pPr>
          </w:p>
        </w:tc>
        <w:tc>
          <w:tcPr>
            <w:tcW w:w="1093" w:type="dxa"/>
            <w:vAlign w:val="center"/>
          </w:tcPr>
          <w:p>
            <w:pPr>
              <w:spacing w:line="300" w:lineRule="exact"/>
              <w:jc w:val="right"/>
              <w:rPr>
                <w:rFonts w:ascii="方正书宋_GBK" w:eastAsia="方正书宋_GBK" w:cs="方正书宋_GBK"/>
                <w:b/>
                <w:bCs/>
              </w:rPr>
            </w:pPr>
            <w:r>
              <w:rPr>
                <w:rFonts w:ascii="方正书宋_GBK" w:eastAsia="方正书宋_GBK" w:cs="方正书宋_GBK"/>
                <w:b/>
                <w:bCs/>
              </w:rPr>
              <w:t>12380.32</w:t>
            </w:r>
          </w:p>
        </w:tc>
        <w:tc>
          <w:tcPr>
            <w:tcW w:w="812" w:type="dxa"/>
            <w:vAlign w:val="center"/>
          </w:tcPr>
          <w:p>
            <w:pPr>
              <w:spacing w:line="300" w:lineRule="exact"/>
              <w:jc w:val="right"/>
              <w:rPr>
                <w:rFonts w:ascii="方正书宋_GBK" w:eastAsia="方正书宋_GBK" w:cs="方正书宋_GBK"/>
                <w:b/>
                <w:bCs/>
              </w:rPr>
            </w:pPr>
          </w:p>
        </w:tc>
        <w:tc>
          <w:tcPr>
            <w:tcW w:w="812" w:type="dxa"/>
            <w:vAlign w:val="center"/>
          </w:tcPr>
          <w:p>
            <w:pPr>
              <w:spacing w:line="300" w:lineRule="exact"/>
              <w:jc w:val="right"/>
              <w:rPr>
                <w:rFonts w:ascii="方正书宋_GBK" w:eastAsia="方正书宋_GBK" w:cs="方正书宋_GBK"/>
                <w:b/>
                <w:bCs/>
              </w:rPr>
            </w:pPr>
          </w:p>
        </w:tc>
        <w:tc>
          <w:tcPr>
            <w:tcW w:w="769" w:type="dxa"/>
            <w:vAlign w:val="center"/>
          </w:tcPr>
          <w:p>
            <w:pPr>
              <w:spacing w:line="300" w:lineRule="exact"/>
              <w:jc w:val="right"/>
              <w:rPr>
                <w:rFonts w:ascii="方正书宋_GBK" w:eastAsia="方正书宋_GBK" w:cs="方正书宋_GBK"/>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center"/>
              <w:rPr>
                <w:rFonts w:ascii="方正书宋_GBK" w:eastAsia="方正书宋_GBK" w:cs="Times New Roman"/>
                <w:b/>
                <w:bCs/>
              </w:rPr>
            </w:pPr>
            <w:r>
              <w:rPr>
                <w:rFonts w:hint="eastAsia" w:ascii="方正书宋_GBK" w:eastAsia="方正书宋_GBK" w:cs="方正书宋_GBK"/>
                <w:b/>
                <w:bCs/>
              </w:rPr>
              <w:t>河北省福利彩票发行管理中心小计</w:t>
            </w:r>
          </w:p>
        </w:tc>
        <w:tc>
          <w:tcPr>
            <w:tcW w:w="976" w:type="dxa"/>
            <w:vAlign w:val="center"/>
          </w:tcPr>
          <w:p>
            <w:pPr>
              <w:spacing w:line="300" w:lineRule="exact"/>
              <w:jc w:val="right"/>
              <w:rPr>
                <w:rFonts w:ascii="方正书宋_GBK" w:eastAsia="方正书宋_GBK" w:cs="Times New Roman"/>
                <w:b/>
                <w:bCs/>
              </w:rPr>
            </w:pPr>
          </w:p>
        </w:tc>
        <w:tc>
          <w:tcPr>
            <w:tcW w:w="789" w:type="dxa"/>
            <w:vAlign w:val="center"/>
          </w:tcPr>
          <w:p>
            <w:pPr>
              <w:spacing w:line="300" w:lineRule="exact"/>
              <w:jc w:val="left"/>
              <w:rPr>
                <w:rFonts w:ascii="方正书宋_GBK" w:eastAsia="方正书宋_GBK" w:cs="Times New Roman"/>
                <w:b/>
                <w:bCs/>
              </w:rPr>
            </w:pPr>
          </w:p>
        </w:tc>
        <w:tc>
          <w:tcPr>
            <w:tcW w:w="1524" w:type="dxa"/>
            <w:vAlign w:val="center"/>
          </w:tcPr>
          <w:p>
            <w:pPr>
              <w:spacing w:line="300" w:lineRule="exact"/>
              <w:jc w:val="left"/>
              <w:rPr>
                <w:rFonts w:ascii="方正书宋_GBK" w:eastAsia="方正书宋_GBK" w:cs="Times New Roman"/>
                <w:b/>
                <w:bCs/>
              </w:rPr>
            </w:pPr>
          </w:p>
        </w:tc>
        <w:tc>
          <w:tcPr>
            <w:tcW w:w="607" w:type="dxa"/>
            <w:vAlign w:val="center"/>
          </w:tcPr>
          <w:p>
            <w:pPr>
              <w:spacing w:line="300" w:lineRule="exact"/>
              <w:jc w:val="left"/>
              <w:rPr>
                <w:rFonts w:ascii="方正书宋_GBK" w:eastAsia="方正书宋_GBK" w:cs="Times New Roman"/>
                <w:b/>
                <w:bCs/>
              </w:rPr>
            </w:pPr>
          </w:p>
        </w:tc>
        <w:tc>
          <w:tcPr>
            <w:tcW w:w="976" w:type="dxa"/>
            <w:vAlign w:val="center"/>
          </w:tcPr>
          <w:p>
            <w:pPr>
              <w:spacing w:line="300" w:lineRule="exact"/>
              <w:jc w:val="right"/>
              <w:rPr>
                <w:rFonts w:ascii="方正书宋_GBK" w:eastAsia="方正书宋_GBK" w:cs="Times New Roman"/>
                <w:b/>
                <w:bCs/>
              </w:rPr>
            </w:pPr>
          </w:p>
        </w:tc>
        <w:tc>
          <w:tcPr>
            <w:tcW w:w="976" w:type="dxa"/>
            <w:vAlign w:val="center"/>
          </w:tcPr>
          <w:p>
            <w:pPr>
              <w:spacing w:line="300" w:lineRule="exact"/>
              <w:jc w:val="right"/>
              <w:rPr>
                <w:rFonts w:ascii="方正书宋_GBK" w:eastAsia="方正书宋_GBK" w:cs="Times New Roman"/>
                <w:b/>
                <w:bCs/>
              </w:rPr>
            </w:pPr>
          </w:p>
        </w:tc>
        <w:tc>
          <w:tcPr>
            <w:tcW w:w="1093" w:type="dxa"/>
            <w:vAlign w:val="center"/>
          </w:tcPr>
          <w:p>
            <w:pPr>
              <w:spacing w:line="300" w:lineRule="exact"/>
              <w:jc w:val="right"/>
              <w:rPr>
                <w:rFonts w:ascii="方正书宋_GBK" w:eastAsia="方正书宋_GBK" w:cs="方正书宋_GBK"/>
                <w:b/>
                <w:bCs/>
              </w:rPr>
            </w:pPr>
            <w:r>
              <w:rPr>
                <w:rFonts w:ascii="方正书宋_GBK" w:eastAsia="方正书宋_GBK" w:cs="方正书宋_GBK"/>
                <w:b/>
                <w:bCs/>
              </w:rPr>
              <w:t>12380.32</w:t>
            </w:r>
          </w:p>
        </w:tc>
        <w:tc>
          <w:tcPr>
            <w:tcW w:w="1093" w:type="dxa"/>
            <w:vAlign w:val="center"/>
          </w:tcPr>
          <w:p>
            <w:pPr>
              <w:spacing w:line="300" w:lineRule="exact"/>
              <w:jc w:val="right"/>
              <w:rPr>
                <w:rFonts w:ascii="方正书宋_GBK" w:eastAsia="方正书宋_GBK" w:cs="方正书宋_GBK"/>
                <w:b/>
                <w:bCs/>
              </w:rPr>
            </w:pPr>
            <w:r>
              <w:rPr>
                <w:rFonts w:ascii="方正书宋_GBK" w:eastAsia="方正书宋_GBK" w:cs="方正书宋_GBK"/>
                <w:b/>
                <w:bCs/>
              </w:rPr>
              <w:t>12380.32</w:t>
            </w:r>
          </w:p>
        </w:tc>
        <w:tc>
          <w:tcPr>
            <w:tcW w:w="754" w:type="dxa"/>
            <w:vAlign w:val="center"/>
          </w:tcPr>
          <w:p>
            <w:pPr>
              <w:spacing w:line="300" w:lineRule="exact"/>
              <w:jc w:val="right"/>
              <w:rPr>
                <w:rFonts w:ascii="方正书宋_GBK" w:eastAsia="方正书宋_GBK" w:cs="方正书宋_GBK"/>
                <w:b/>
                <w:bCs/>
              </w:rPr>
            </w:pPr>
          </w:p>
        </w:tc>
        <w:tc>
          <w:tcPr>
            <w:tcW w:w="1093" w:type="dxa"/>
            <w:vAlign w:val="center"/>
          </w:tcPr>
          <w:p>
            <w:pPr>
              <w:spacing w:line="300" w:lineRule="exact"/>
              <w:jc w:val="right"/>
              <w:rPr>
                <w:rFonts w:ascii="方正书宋_GBK" w:eastAsia="方正书宋_GBK" w:cs="方正书宋_GBK"/>
                <w:b/>
                <w:bCs/>
              </w:rPr>
            </w:pPr>
            <w:r>
              <w:rPr>
                <w:rFonts w:ascii="方正书宋_GBK" w:eastAsia="方正书宋_GBK" w:cs="方正书宋_GBK"/>
                <w:b/>
                <w:bCs/>
              </w:rPr>
              <w:t>12380.32</w:t>
            </w:r>
          </w:p>
        </w:tc>
        <w:tc>
          <w:tcPr>
            <w:tcW w:w="812" w:type="dxa"/>
            <w:vAlign w:val="center"/>
          </w:tcPr>
          <w:p>
            <w:pPr>
              <w:spacing w:line="300" w:lineRule="exact"/>
              <w:jc w:val="right"/>
              <w:rPr>
                <w:rFonts w:ascii="方正书宋_GBK" w:eastAsia="方正书宋_GBK" w:cs="方正书宋_GBK"/>
                <w:b/>
                <w:bCs/>
              </w:rPr>
            </w:pPr>
          </w:p>
        </w:tc>
        <w:tc>
          <w:tcPr>
            <w:tcW w:w="812" w:type="dxa"/>
            <w:vAlign w:val="center"/>
          </w:tcPr>
          <w:p>
            <w:pPr>
              <w:spacing w:line="300" w:lineRule="exact"/>
              <w:jc w:val="right"/>
              <w:rPr>
                <w:rFonts w:ascii="方正书宋_GBK" w:eastAsia="方正书宋_GBK" w:cs="方正书宋_GBK"/>
                <w:b/>
                <w:bCs/>
              </w:rPr>
            </w:pPr>
          </w:p>
        </w:tc>
        <w:tc>
          <w:tcPr>
            <w:tcW w:w="769" w:type="dxa"/>
            <w:vAlign w:val="center"/>
          </w:tcPr>
          <w:p>
            <w:pPr>
              <w:spacing w:line="300" w:lineRule="exact"/>
              <w:jc w:val="right"/>
              <w:rPr>
                <w:rFonts w:ascii="方正书宋_GBK" w:eastAsia="方正书宋_GBK" w:cs="方正书宋_GBK"/>
                <w:b/>
                <w:bCs/>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物业管理服务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C1204</w:t>
            </w:r>
          </w:p>
        </w:tc>
        <w:tc>
          <w:tcPr>
            <w:tcW w:w="607" w:type="dxa"/>
            <w:vAlign w:val="center"/>
          </w:tcPr>
          <w:p>
            <w:pPr>
              <w:spacing w:line="300" w:lineRule="exact"/>
              <w:jc w:val="left"/>
              <w:rPr>
                <w:rFonts w:ascii="方正书宋_GBK" w:eastAsia="方正书宋_GBK" w:cs="方正书宋_GBK"/>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13.00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13.00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计算机设备</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A020101</w:t>
            </w:r>
          </w:p>
        </w:tc>
        <w:tc>
          <w:tcPr>
            <w:tcW w:w="607" w:type="dxa"/>
            <w:vAlign w:val="center"/>
          </w:tcPr>
          <w:p>
            <w:pPr>
              <w:spacing w:line="300" w:lineRule="exact"/>
              <w:jc w:val="left"/>
              <w:rPr>
                <w:rFonts w:ascii="方正书宋_GBK" w:eastAsia="方正书宋_GBK" w:cs="方正书宋_GBK"/>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1.80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1.80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1.80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家具用具</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A06</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套</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0.25</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2.50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2.50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2.50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空调机</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A0206180203</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台</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0.90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2.70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2.70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2.70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空调机</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A0206180203</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台</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2.10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2.10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2.10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饮水器</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A02061807</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台</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方正书宋_GBK"/>
              </w:rPr>
            </w:pPr>
            <w:r>
              <w:rPr>
                <w:rFonts w:hint="eastAsia" w:ascii="方正书宋_GBK" w:eastAsia="方正书宋_GBK" w:cs="方正书宋_GBK"/>
              </w:rPr>
              <w:t>普通电视设备</w:t>
            </w:r>
            <w:r>
              <w:rPr>
                <w:rFonts w:ascii="方正书宋_GBK" w:eastAsia="方正书宋_GBK" w:cs="方正书宋_GBK"/>
              </w:rPr>
              <w:t>(</w:t>
            </w:r>
            <w:r>
              <w:rPr>
                <w:rFonts w:hint="eastAsia" w:ascii="方正书宋_GBK" w:eastAsia="方正书宋_GBK" w:cs="方正书宋_GBK"/>
              </w:rPr>
              <w:t>电视机</w:t>
            </w:r>
            <w:r>
              <w:rPr>
                <w:rFonts w:ascii="方正书宋_GBK" w:eastAsia="方正书宋_GBK" w:cs="方正书宋_GBK"/>
              </w:rPr>
              <w:t>)</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A02091001</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台</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日常公用经费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计算机设备</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A020101</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5.00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0.48</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2.40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2.40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2.40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福利彩票销售渠道建设项目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231.00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软件开发服务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C0201</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福利彩票销售渠道建设项目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231.00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运行维护服务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C0206</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195.00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195.00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195.00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195.00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专项设备购置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服务器</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A02010103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8.90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17.80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17.80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17.80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专项设备购置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服务器</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A02010103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7.70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23.10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23.10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23.10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专项设备购置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服务器</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A02010103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3.20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3.20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3.20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3.20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专项设备购置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信息安全设备</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A020103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4.90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4.90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4.90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4.90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彩票销售投注机专用热敏纸</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1349.70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彩票销售设备</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A033705</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百卷</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300.00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0.19</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57.00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57.00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57.00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彩票销售投注机专用热敏纸</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1349.70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彩票销售设备</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A033705</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百卷</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4170.00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0.31</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1292.70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1292.70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1292.70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福利彩票促销项目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6051.00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社会与管理咨询服务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C0808</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890.00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890.00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890.00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890.00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福利彩票促销项目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6051.00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400.00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400.00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福利彩票促销项目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6051.00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社会与管理咨询服务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C0808</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340.00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340.00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340.00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340.00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福利彩票促销项目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6051.00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900.00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900.00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900.00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900.00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福利彩票销售系统维保项目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396.00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计算机设备维修和保养服务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C0501</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68.00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68.00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68.00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68.00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福利彩票销售系统维保项目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396.00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运行维护服务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C0206</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328.00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328.00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328.00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328.00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技术服务项目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764.00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运营服务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C0207</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764.00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764.00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764.00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764.00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专线通讯费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850.00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电信和其他信息传输服务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专线通讯费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850.00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电信和其他信息传输服务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600.00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600.00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600.00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600.00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专线通讯费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850.00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电信和其他信息传输服务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144.00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144.00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144.00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144.00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专线通讯费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850.00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电信和其他信息传输服务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C03</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36.00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福利彩票开奖项目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运营服务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C0207</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258.00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258.00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258.00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258.00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投注机设备维保项目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744.00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744.00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744.00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744.00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744.00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物业管理服务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C1204</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100.00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100.00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100.00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176.00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176.00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176.00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176.00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43.00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43.00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空调机</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A0206180203</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个</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空调机</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A0206180203</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个</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冷藏柜</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A0206180102</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个</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0.20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0.40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0.40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0.40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家具用具</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A06</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张</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0.20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家具用具</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A06</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组</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0.50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1.50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1.50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1.50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计算机设备</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A020101</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台</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0.50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0.50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0.50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0.50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个</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0.12</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0.12</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0.12</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0.12</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家具用具</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A06</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个</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45.00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0.11</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4.95</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4.95</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4.95</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多功能一体机</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A020204</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台</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中福在线销售厅运行维护费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413.62</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家具用具</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A06</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套</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0.30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0.60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数据中心运行维护费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398.00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物业管理服务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C1204</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135.00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135.00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135.00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135.00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福利彩票业务管理费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19.00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19.00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19.00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19.00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福利彩票业务管理费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办公消耗用品及类似物品</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A09</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百包</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1.50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0.48</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0.72</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0.72</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0.72</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福利彩票业务管理费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办公消耗用品及类似物品</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A09</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百包</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22.50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0.24</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5.40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5.40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5.40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福利彩票业务管理费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车辆加油服务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C050302</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百升</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384.00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0.07</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26.88</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26.88</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26.88</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即开型福利彩票物流管理项目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交通运输和仓储服务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C17</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40.00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40.00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40.00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福利彩票业务管理费</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23.00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市场宣传、推广及营销项目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2767.00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1008.00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1008.00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1008.00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市场宣传、推广及营销项目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2767.00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信息技术咨询服务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C0208</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346.00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346.00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346.00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346.00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市场宣传、推广及营销项目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2767.00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广告服务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C0806</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747.00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747.00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747.00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747.00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市场宣传、推广及营销项目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2767.00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广告服务</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C0806</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485.00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485.00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485.00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485.00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机房</w:t>
            </w:r>
            <w:r>
              <w:rPr>
                <w:rFonts w:ascii="方正书宋_GBK" w:eastAsia="方正书宋_GBK" w:cs="方正书宋_GBK"/>
              </w:rPr>
              <w:t>UPS</w:t>
            </w:r>
            <w:r>
              <w:rPr>
                <w:rFonts w:hint="eastAsia" w:ascii="方正书宋_GBK" w:eastAsia="方正书宋_GBK" w:cs="方正书宋_GBK"/>
              </w:rPr>
              <w:t>蓄电池采购项目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46.00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46.00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46.00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机房</w:t>
            </w:r>
            <w:r>
              <w:rPr>
                <w:rFonts w:ascii="方正书宋_GBK" w:eastAsia="方正书宋_GBK" w:cs="方正书宋_GBK"/>
              </w:rPr>
              <w:t>UPS</w:t>
            </w:r>
            <w:r>
              <w:rPr>
                <w:rFonts w:hint="eastAsia" w:ascii="方正书宋_GBK" w:eastAsia="方正书宋_GBK" w:cs="方正书宋_GBK"/>
              </w:rPr>
              <w:t>蓄电池采购项目</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49.00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3.00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购置快开游戏开奖辅助设备（中央提前下达资金）</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1495.00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套</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2105.00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0.71</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1494.55</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1494.55</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1494.55</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294"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购置便民服务显示终端（中央提前下达资金）</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450.00</w:t>
            </w:r>
          </w:p>
        </w:tc>
        <w:tc>
          <w:tcPr>
            <w:tcW w:w="789"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其他货物</w:t>
            </w:r>
          </w:p>
        </w:tc>
        <w:tc>
          <w:tcPr>
            <w:tcW w:w="1524" w:type="dxa"/>
            <w:vAlign w:val="center"/>
          </w:tcPr>
          <w:p>
            <w:pPr>
              <w:spacing w:line="300" w:lineRule="exact"/>
              <w:jc w:val="left"/>
              <w:rPr>
                <w:rFonts w:ascii="方正书宋_GBK" w:eastAsia="方正书宋_GBK" w:cs="方正书宋_GBK"/>
              </w:rPr>
            </w:pPr>
            <w:r>
              <w:rPr>
                <w:rFonts w:ascii="方正书宋_GBK" w:eastAsia="方正书宋_GBK" w:cs="方正书宋_GBK"/>
              </w:rPr>
              <w:t>A99</w:t>
            </w:r>
          </w:p>
        </w:tc>
        <w:tc>
          <w:tcPr>
            <w:tcW w:w="607" w:type="dxa"/>
            <w:vAlign w:val="center"/>
          </w:tcPr>
          <w:p>
            <w:pPr>
              <w:spacing w:line="300" w:lineRule="exact"/>
              <w:jc w:val="left"/>
              <w:rPr>
                <w:rFonts w:ascii="方正书宋_GBK" w:eastAsia="方正书宋_GBK" w:cs="Times New Roman"/>
              </w:rPr>
            </w:pPr>
            <w:r>
              <w:rPr>
                <w:rFonts w:hint="eastAsia" w:ascii="方正书宋_GBK" w:eastAsia="方正书宋_GBK" w:cs="方正书宋_GBK"/>
              </w:rPr>
              <w:t>套</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1730.00</w:t>
            </w:r>
          </w:p>
        </w:tc>
        <w:tc>
          <w:tcPr>
            <w:tcW w:w="976" w:type="dxa"/>
            <w:vAlign w:val="center"/>
          </w:tcPr>
          <w:p>
            <w:pPr>
              <w:spacing w:line="300" w:lineRule="exact"/>
              <w:jc w:val="right"/>
              <w:rPr>
                <w:rFonts w:ascii="方正书宋_GBK" w:eastAsia="方正书宋_GBK" w:cs="方正书宋_GBK"/>
              </w:rPr>
            </w:pPr>
            <w:r>
              <w:rPr>
                <w:rFonts w:ascii="方正书宋_GBK" w:eastAsia="方正书宋_GBK" w:cs="方正书宋_GBK"/>
              </w:rPr>
              <w:t>0.26</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449.80</w:t>
            </w: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449.80</w:t>
            </w:r>
          </w:p>
        </w:tc>
        <w:tc>
          <w:tcPr>
            <w:tcW w:w="754" w:type="dxa"/>
            <w:vAlign w:val="center"/>
          </w:tcPr>
          <w:p>
            <w:pPr>
              <w:spacing w:line="300" w:lineRule="exact"/>
              <w:jc w:val="right"/>
              <w:rPr>
                <w:rFonts w:ascii="方正书宋_GBK" w:eastAsia="方正书宋_GBK" w:cs="方正书宋_GBK"/>
              </w:rPr>
            </w:pPr>
          </w:p>
        </w:tc>
        <w:tc>
          <w:tcPr>
            <w:tcW w:w="1093" w:type="dxa"/>
            <w:vAlign w:val="center"/>
          </w:tcPr>
          <w:p>
            <w:pPr>
              <w:spacing w:line="300" w:lineRule="exact"/>
              <w:jc w:val="right"/>
              <w:rPr>
                <w:rFonts w:ascii="方正书宋_GBK" w:eastAsia="方正书宋_GBK" w:cs="方正书宋_GBK"/>
              </w:rPr>
            </w:pPr>
            <w:r>
              <w:rPr>
                <w:rFonts w:ascii="方正书宋_GBK" w:eastAsia="方正书宋_GBK" w:cs="方正书宋_GBK"/>
              </w:rPr>
              <w:t>449.80</w:t>
            </w:r>
          </w:p>
        </w:tc>
        <w:tc>
          <w:tcPr>
            <w:tcW w:w="812" w:type="dxa"/>
            <w:vAlign w:val="center"/>
          </w:tcPr>
          <w:p>
            <w:pPr>
              <w:spacing w:line="300" w:lineRule="exact"/>
              <w:jc w:val="right"/>
              <w:rPr>
                <w:rFonts w:ascii="方正书宋_GBK" w:eastAsia="方正书宋_GBK" w:cs="方正书宋_GBK"/>
              </w:rPr>
            </w:pPr>
          </w:p>
        </w:tc>
        <w:tc>
          <w:tcPr>
            <w:tcW w:w="812" w:type="dxa"/>
            <w:vAlign w:val="center"/>
          </w:tcPr>
          <w:p>
            <w:pPr>
              <w:spacing w:line="300" w:lineRule="exact"/>
              <w:jc w:val="right"/>
              <w:rPr>
                <w:rFonts w:ascii="方正书宋_GBK" w:eastAsia="方正书宋_GBK" w:cs="方正书宋_GBK"/>
              </w:rPr>
            </w:pPr>
          </w:p>
        </w:tc>
        <w:tc>
          <w:tcPr>
            <w:tcW w:w="769" w:type="dxa"/>
            <w:vAlign w:val="center"/>
          </w:tcPr>
          <w:p>
            <w:pPr>
              <w:spacing w:line="300" w:lineRule="exact"/>
              <w:jc w:val="right"/>
              <w:rPr>
                <w:rFonts w:ascii="方正书宋_GBK" w:eastAsia="方正书宋_GBK" w:cs="方正书宋_GBK"/>
              </w:rPr>
            </w:pPr>
          </w:p>
        </w:tc>
      </w:tr>
    </w:tbl>
    <w:p>
      <w:pPr>
        <w:spacing w:line="300" w:lineRule="exact"/>
        <w:jc w:val="left"/>
        <w:outlineLvl w:val="0"/>
        <w:rPr>
          <w:rFonts w:cs="Times New Roman"/>
        </w:rPr>
        <w:sectPr>
          <w:pgSz w:w="16839" w:h="11907" w:orient="landscape"/>
          <w:pgMar w:top="1361" w:right="1020" w:bottom="1361" w:left="1020" w:header="851" w:footer="992" w:gutter="0"/>
          <w:cols w:space="425" w:num="1"/>
          <w:docGrid w:type="lines" w:linePitch="312" w:charSpace="0"/>
        </w:sectPr>
      </w:pPr>
    </w:p>
    <w:bookmarkEnd w:id="1"/>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黑体"/>
          <w:sz w:val="32"/>
          <w:szCs w:val="32"/>
        </w:rPr>
        <w:t>七、国有资产信息</w:t>
      </w:r>
    </w:p>
    <w:p>
      <w:pPr>
        <w:ind w:firstLine="640"/>
        <w:rPr>
          <w:rFonts w:ascii="Times New Roman" w:hAnsi="Times New Roman" w:eastAsia="方正仿宋_GBK" w:cs="Times New Roman"/>
          <w:sz w:val="32"/>
          <w:szCs w:val="32"/>
        </w:rPr>
      </w:pPr>
      <w:r>
        <w:rPr>
          <w:rFonts w:hint="eastAsia" w:ascii="Times New Roman" w:hAnsi="Times New Roman" w:eastAsia="方正仿宋_GBK" w:cs="方正仿宋_GBK"/>
          <w:sz w:val="32"/>
          <w:szCs w:val="32"/>
        </w:rPr>
        <w:t>我单位上年末固定资产金额为</w:t>
      </w:r>
      <w:r>
        <w:rPr>
          <w:rFonts w:ascii="Times New Roman" w:hAnsi="Times New Roman" w:eastAsia="方正仿宋_GBK" w:cs="Times New Roman"/>
          <w:sz w:val="32"/>
          <w:szCs w:val="32"/>
        </w:rPr>
        <w:t>47184.07</w:t>
      </w:r>
      <w:r>
        <w:rPr>
          <w:rFonts w:hint="eastAsia" w:ascii="Times New Roman" w:hAnsi="Times New Roman" w:eastAsia="方正仿宋_GBK" w:cs="方正仿宋_GBK"/>
          <w:sz w:val="32"/>
          <w:szCs w:val="32"/>
        </w:rPr>
        <w:t>万元（详见下表），本年度拟购置固定资产总额为</w:t>
      </w:r>
      <w:r>
        <w:rPr>
          <w:rFonts w:ascii="Times New Roman" w:hAnsi="Times New Roman" w:eastAsia="方正仿宋_GBK" w:cs="Times New Roman"/>
          <w:sz w:val="32"/>
          <w:szCs w:val="32"/>
        </w:rPr>
        <w:t>2090.27</w:t>
      </w:r>
      <w:r>
        <w:rPr>
          <w:rFonts w:hint="eastAsia" w:ascii="Times New Roman" w:hAnsi="Times New Roman" w:eastAsia="方正仿宋_GBK" w:cs="方正仿宋_GBK"/>
          <w:sz w:val="32"/>
          <w:szCs w:val="32"/>
        </w:rPr>
        <w:t>万元，主要为快开游戏开奖辅助设备、便民服务显示终端等，已列入政府采购预算，详见政府采购预算表。</w:t>
      </w:r>
    </w:p>
    <w:tbl>
      <w:tblPr>
        <w:tblStyle w:val="9"/>
        <w:tblW w:w="13482" w:type="dxa"/>
        <w:tblInd w:w="-106"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spacing w:line="300" w:lineRule="exact"/>
              <w:ind w:right="420" w:firstLine="4620" w:firstLineChars="2200"/>
              <w:rPr>
                <w:rFonts w:ascii="方正书宋_GBK" w:eastAsia="方正书宋_GBK" w:cs="Times New Roman"/>
              </w:rPr>
            </w:pPr>
            <w:r>
              <w:rPr>
                <w:rFonts w:hint="eastAsia" w:ascii="方正书宋_GBK" w:eastAsia="方正书宋_GBK" w:cs="方正书宋_GBK"/>
              </w:rPr>
              <w:t>河北省福利彩票发行管理中心固定资产占用情况表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spacing w:line="300" w:lineRule="exact"/>
              <w:ind w:right="420"/>
              <w:rPr>
                <w:rFonts w:ascii="方正书宋_GBK" w:eastAsia="方正书宋_GBK" w:cs="Times New Roman"/>
              </w:rPr>
            </w:pPr>
            <w:r>
              <w:rPr>
                <w:rFonts w:hint="eastAsia" w:ascii="方正书宋_GBK" w:eastAsia="方正书宋_GBK" w:cs="方正书宋_GBK"/>
              </w:rPr>
              <w:t>编制部门：河北省福利彩票发行管理中心</w:t>
            </w:r>
          </w:p>
        </w:tc>
        <w:tc>
          <w:tcPr>
            <w:tcW w:w="5103" w:type="dxa"/>
            <w:tcBorders>
              <w:top w:val="nil"/>
              <w:left w:val="nil"/>
              <w:bottom w:val="nil"/>
              <w:right w:val="nil"/>
            </w:tcBorders>
            <w:vAlign w:val="center"/>
          </w:tcPr>
          <w:p>
            <w:pPr>
              <w:spacing w:line="300" w:lineRule="exact"/>
              <w:ind w:right="420" w:firstLine="1365" w:firstLineChars="650"/>
              <w:rPr>
                <w:rFonts w:ascii="方正书宋_GBK" w:eastAsia="方正书宋_GBK" w:cs="方正书宋_GBK"/>
              </w:rPr>
            </w:pPr>
            <w:r>
              <w:rPr>
                <w:rFonts w:hint="eastAsia" w:ascii="方正书宋_GBK" w:eastAsia="方正书宋_GBK" w:cs="方正书宋_GBK"/>
              </w:rPr>
              <w:t>截止时间：</w:t>
            </w:r>
            <w:r>
              <w:rPr>
                <w:rFonts w:ascii="方正书宋_GBK" w:eastAsia="方正书宋_GBK" w:cs="方正书宋_GBK"/>
              </w:rPr>
              <w:t>2017</w:t>
            </w:r>
            <w:r>
              <w:rPr>
                <w:rFonts w:hint="eastAsia" w:ascii="方正书宋_GBK" w:eastAsia="方正书宋_GBK" w:cs="方正书宋_GBK"/>
              </w:rPr>
              <w:t>年</w:t>
            </w:r>
            <w:r>
              <w:rPr>
                <w:rFonts w:ascii="方正书宋_GBK" w:eastAsia="方正书宋_GBK" w:cs="方正书宋_GBK"/>
              </w:rPr>
              <w:t>12</w:t>
            </w:r>
            <w:r>
              <w:rPr>
                <w:rFonts w:hint="eastAsia" w:ascii="方正书宋_GBK" w:eastAsia="方正书宋_GBK" w:cs="方正书宋_GBK"/>
              </w:rPr>
              <w:t>月</w:t>
            </w:r>
            <w:r>
              <w:rPr>
                <w:rFonts w:ascii="方正书宋_GBK" w:eastAsia="方正书宋_GBK" w:cs="方正书宋_GBK"/>
              </w:rPr>
              <w:t>31</w:t>
            </w:r>
            <w:r>
              <w:rPr>
                <w:rFonts w:hint="eastAsia" w:ascii="方正书宋_GBK" w:eastAsia="方正书宋_GBK" w:cs="方正书宋_GBK"/>
              </w:rPr>
              <w:t>日</w:t>
            </w:r>
            <w:r>
              <w:rPr>
                <w:rFonts w:ascii="方正书宋_GBK" w:eastAsia="方正书宋_GBK" w:cs="方正书宋_GBK"/>
              </w:rPr>
              <w:t xml:space="preserve">  </w:t>
            </w:r>
          </w:p>
        </w:tc>
      </w:tr>
      <w:tr>
        <w:tblPrEx>
          <w:tblLayout w:type="fixed"/>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方正书宋_GBK" w:eastAsia="方正书宋_GBK" w:cs="Times New Roman"/>
              </w:rPr>
            </w:pPr>
            <w:r>
              <w:rPr>
                <w:rFonts w:hint="eastAsia" w:ascii="方正书宋_GBK" w:eastAsia="方正书宋_GBK" w:cs="方正书宋_GBK"/>
              </w:rPr>
              <w:t>项</w:t>
            </w:r>
            <w:r>
              <w:rPr>
                <w:rFonts w:ascii="方正书宋_GBK" w:eastAsia="方正书宋_GBK" w:cs="方正书宋_GBK"/>
              </w:rPr>
              <w:t xml:space="preserve">   </w:t>
            </w:r>
            <w:r>
              <w:rPr>
                <w:rFonts w:hint="eastAsia" w:ascii="方正书宋_GBK" w:eastAsia="方正书宋_GBK" w:cs="方正书宋_GBK"/>
              </w:rPr>
              <w:t>目</w:t>
            </w:r>
          </w:p>
        </w:tc>
        <w:tc>
          <w:tcPr>
            <w:tcW w:w="3155" w:type="dxa"/>
            <w:tcBorders>
              <w:top w:val="single" w:color="auto" w:sz="4" w:space="0"/>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hint="eastAsia" w:ascii="方正书宋_GBK" w:eastAsia="方正书宋_GBK" w:cs="方正书宋_GBK"/>
              </w:rPr>
              <w:t>数量</w:t>
            </w:r>
          </w:p>
        </w:tc>
        <w:tc>
          <w:tcPr>
            <w:tcW w:w="5103" w:type="dxa"/>
            <w:tcBorders>
              <w:top w:val="single" w:color="auto" w:sz="4" w:space="0"/>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hint="eastAsia" w:ascii="方正书宋_GBK" w:eastAsia="方正书宋_GBK" w:cs="方正书宋_GBK"/>
              </w:rPr>
              <w:t>价值（金额单位：万元）</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300" w:lineRule="exact"/>
              <w:rPr>
                <w:rFonts w:ascii="方正书宋_GBK" w:eastAsia="方正书宋_GBK" w:cs="Times New Roman"/>
              </w:rPr>
            </w:pPr>
            <w:r>
              <w:rPr>
                <w:rFonts w:hint="eastAsia" w:ascii="方正书宋_GBK" w:eastAsia="方正书宋_GBK" w:cs="方正书宋_GBK"/>
              </w:rPr>
              <w:t>资产总额</w:t>
            </w:r>
          </w:p>
        </w:tc>
        <w:tc>
          <w:tcPr>
            <w:tcW w:w="3155"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rPr>
              <w:t>——</w:t>
            </w:r>
          </w:p>
        </w:tc>
        <w:tc>
          <w:tcPr>
            <w:tcW w:w="5103"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方正书宋_GBK"/>
              </w:rPr>
            </w:pPr>
            <w:r>
              <w:rPr>
                <w:rFonts w:ascii="方正书宋_GBK" w:eastAsia="方正书宋_GBK" w:cs="方正书宋_GBK"/>
              </w:rPr>
              <w:t>47184.07</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300" w:lineRule="exact"/>
              <w:rPr>
                <w:rFonts w:ascii="方正书宋_GBK" w:eastAsia="方正书宋_GBK" w:cs="Times New Roman"/>
              </w:rPr>
            </w:pPr>
            <w:r>
              <w:rPr>
                <w:rFonts w:ascii="方正书宋_GBK" w:eastAsia="方正书宋_GBK" w:cs="方正书宋_GBK"/>
              </w:rPr>
              <w:t xml:space="preserve">     1</w:t>
            </w:r>
            <w:r>
              <w:rPr>
                <w:rFonts w:hint="eastAsia" w:ascii="方正书宋_GBK" w:eastAsia="方正书宋_GBK" w:cs="方正书宋_GBK"/>
              </w:rPr>
              <w:t>、房屋（平方米）</w:t>
            </w:r>
          </w:p>
        </w:tc>
        <w:tc>
          <w:tcPr>
            <w:tcW w:w="3155"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cs="方正书宋_GBK"/>
              </w:rPr>
              <w:t xml:space="preserve">  32461.63  </w:t>
            </w:r>
          </w:p>
        </w:tc>
        <w:tc>
          <w:tcPr>
            <w:tcW w:w="5103"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cs="方正书宋_GBK"/>
              </w:rPr>
              <w:t>20127.45</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300" w:lineRule="exact"/>
              <w:rPr>
                <w:rFonts w:ascii="方正书宋_GBK" w:eastAsia="方正书宋_GBK" w:cs="Times New Roman"/>
              </w:rPr>
            </w:pPr>
            <w:r>
              <w:rPr>
                <w:rFonts w:ascii="方正书宋_GBK" w:eastAsia="方正书宋_GBK" w:cs="方正书宋_GBK"/>
              </w:rPr>
              <w:t xml:space="preserve">           </w:t>
            </w:r>
            <w:r>
              <w:rPr>
                <w:rFonts w:hint="eastAsia" w:ascii="方正书宋_GBK" w:eastAsia="方正书宋_GBK" w:cs="方正书宋_GBK"/>
              </w:rPr>
              <w:t>其中：办公用房（平方米）</w:t>
            </w:r>
          </w:p>
        </w:tc>
        <w:tc>
          <w:tcPr>
            <w:tcW w:w="3155"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p>
        </w:tc>
        <w:tc>
          <w:tcPr>
            <w:tcW w:w="5103"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300" w:lineRule="exact"/>
              <w:rPr>
                <w:rFonts w:ascii="方正书宋_GBK" w:eastAsia="方正书宋_GBK" w:cs="Times New Roman"/>
              </w:rPr>
            </w:pPr>
            <w:r>
              <w:rPr>
                <w:rFonts w:ascii="方正书宋_GBK" w:eastAsia="方正书宋_GBK" w:cs="方正书宋_GBK"/>
              </w:rPr>
              <w:t xml:space="preserve">     2</w:t>
            </w:r>
            <w:r>
              <w:rPr>
                <w:rFonts w:hint="eastAsia" w:ascii="方正书宋_GBK" w:eastAsia="方正书宋_GBK" w:cs="方正书宋_GBK"/>
              </w:rPr>
              <w:t>、车辆（台、辆）</w:t>
            </w:r>
          </w:p>
        </w:tc>
        <w:tc>
          <w:tcPr>
            <w:tcW w:w="3155"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cs="方正书宋_GBK"/>
              </w:rPr>
              <w:t>15</w:t>
            </w:r>
          </w:p>
        </w:tc>
        <w:tc>
          <w:tcPr>
            <w:tcW w:w="5103"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cs="方正书宋_GBK"/>
              </w:rPr>
              <w:t>536.82</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300" w:lineRule="exact"/>
              <w:rPr>
                <w:rFonts w:ascii="方正书宋_GBK" w:eastAsia="方正书宋_GBK" w:cs="Times New Roman"/>
              </w:rPr>
            </w:pPr>
            <w:r>
              <w:rPr>
                <w:rFonts w:ascii="方正书宋_GBK" w:eastAsia="方正书宋_GBK" w:cs="方正书宋_GBK"/>
              </w:rPr>
              <w:t xml:space="preserve">     3</w:t>
            </w:r>
            <w:r>
              <w:rPr>
                <w:rFonts w:hint="eastAsia" w:ascii="方正书宋_GBK" w:eastAsia="方正书宋_GBK" w:cs="方正书宋_GBK"/>
              </w:rPr>
              <w:t>、单价在</w:t>
            </w:r>
            <w:r>
              <w:rPr>
                <w:rFonts w:ascii="方正书宋_GBK" w:eastAsia="方正书宋_GBK" w:cs="方正书宋_GBK"/>
              </w:rPr>
              <w:t>20</w:t>
            </w:r>
            <w:r>
              <w:rPr>
                <w:rFonts w:hint="eastAsia" w:ascii="方正书宋_GBK" w:eastAsia="方正书宋_GBK" w:cs="方正书宋_GBK"/>
              </w:rPr>
              <w:t>万元以上的设备</w:t>
            </w:r>
          </w:p>
        </w:tc>
        <w:tc>
          <w:tcPr>
            <w:tcW w:w="3155"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cs="方正书宋_GBK"/>
              </w:rPr>
              <w:t>13</w:t>
            </w:r>
          </w:p>
        </w:tc>
        <w:tc>
          <w:tcPr>
            <w:tcW w:w="5103"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cs="方正书宋_GBK"/>
              </w:rPr>
              <w:t>350.17</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spacing w:line="300" w:lineRule="exact"/>
              <w:rPr>
                <w:rFonts w:ascii="方正书宋_GBK" w:eastAsia="方正书宋_GBK" w:cs="Times New Roman"/>
              </w:rPr>
            </w:pPr>
            <w:r>
              <w:rPr>
                <w:rFonts w:ascii="方正书宋_GBK" w:eastAsia="方正书宋_GBK" w:cs="方正书宋_GBK"/>
              </w:rPr>
              <w:t xml:space="preserve">     4</w:t>
            </w:r>
            <w:r>
              <w:rPr>
                <w:rFonts w:hint="eastAsia" w:ascii="方正书宋_GBK" w:eastAsia="方正书宋_GBK" w:cs="方正书宋_GBK"/>
              </w:rPr>
              <w:t>、其他固定资产</w:t>
            </w:r>
          </w:p>
        </w:tc>
        <w:tc>
          <w:tcPr>
            <w:tcW w:w="3155"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p>
        </w:tc>
        <w:tc>
          <w:tcPr>
            <w:tcW w:w="5103" w:type="dxa"/>
            <w:tcBorders>
              <w:top w:val="nil"/>
              <w:left w:val="nil"/>
              <w:bottom w:val="single" w:color="auto" w:sz="4" w:space="0"/>
              <w:right w:val="single" w:color="auto" w:sz="4" w:space="0"/>
            </w:tcBorders>
            <w:vAlign w:val="center"/>
          </w:tcPr>
          <w:p>
            <w:pPr>
              <w:spacing w:line="300" w:lineRule="exact"/>
              <w:jc w:val="right"/>
              <w:rPr>
                <w:rFonts w:ascii="方正书宋_GBK" w:eastAsia="方正书宋_GBK" w:cs="Times New Roman"/>
              </w:rPr>
            </w:pPr>
            <w:r>
              <w:rPr>
                <w:rFonts w:ascii="方正书宋_GBK" w:eastAsia="方正书宋_GBK" w:cs="方正书宋_GBK"/>
              </w:rPr>
              <w:t>26169.63</w:t>
            </w:r>
          </w:p>
        </w:tc>
      </w:tr>
    </w:tbl>
    <w:p>
      <w:pPr>
        <w:rPr>
          <w:rFonts w:ascii="仿宋_GB2312" w:hAnsi="黑体" w:eastAsia="仿宋_GB2312" w:cs="Times New Roman"/>
          <w:color w:val="FF0000"/>
          <w:sz w:val="32"/>
          <w:szCs w:val="32"/>
        </w:rPr>
      </w:pPr>
    </w:p>
    <w:p>
      <w:pPr>
        <w:autoSpaceDE w:val="0"/>
        <w:autoSpaceDN w:val="0"/>
        <w:adjustRightInd w:val="0"/>
        <w:ind w:firstLine="800" w:firstLineChars="250"/>
        <w:jc w:val="left"/>
        <w:rPr>
          <w:rFonts w:ascii="黑体" w:hAnsi="黑体" w:eastAsia="黑体" w:cs="Times New Roman"/>
          <w:sz w:val="32"/>
          <w:szCs w:val="32"/>
        </w:rPr>
      </w:pPr>
      <w:r>
        <w:rPr>
          <w:rFonts w:hint="eastAsia" w:ascii="黑体" w:hAnsi="黑体" w:eastAsia="黑体" w:cs="黑体"/>
          <w:sz w:val="32"/>
          <w:szCs w:val="32"/>
        </w:rPr>
        <w:t>八、名词解释</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方正仿宋_GBK"/>
          <w:sz w:val="32"/>
          <w:szCs w:val="32"/>
        </w:rPr>
        <w:t>、政府性基金预算：是对依照法律、行政法规的规定在一定期限内向特定对象征收、收取或者以其他方式筹集的资金，专项用于特定公共事业发展的收支预算。</w:t>
      </w:r>
    </w:p>
    <w:p>
      <w:pPr>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w:t>
      </w:r>
      <w:r>
        <w:rPr>
          <w:rFonts w:hint="eastAsia" w:ascii="Times New Roman" w:hAnsi="Times New Roman" w:eastAsia="方正仿宋_GBK" w:cs="方正仿宋_GBK"/>
          <w:sz w:val="32"/>
          <w:szCs w:val="32"/>
        </w:rPr>
        <w:t>、财政拨款收入：指财政部门当年拨付的资金，用于开展彩票销售业务活动及其辅助活动的业务费收入。</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方正仿宋_GBK"/>
          <w:sz w:val="32"/>
          <w:szCs w:val="32"/>
        </w:rPr>
        <w:t>、</w:t>
      </w: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其他收入：除财政拨款收入、经营收入以外的各项收入，包括银行存款利息收入、税务返还手续费收入等。</w:t>
      </w:r>
      <w:r>
        <w:rPr>
          <w:rFonts w:ascii="Times New Roman" w:hAnsi="Times New Roman" w:eastAsia="方正仿宋_GBK" w:cs="Times New Roman"/>
          <w:sz w:val="32"/>
          <w:szCs w:val="32"/>
        </w:rPr>
        <w:t xml:space="preserve">  </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方正仿宋_GBK"/>
          <w:sz w:val="32"/>
          <w:szCs w:val="32"/>
        </w:rPr>
        <w:t>、基本支出：为保障机构正常运转、完成日常工作而发生的人员支出和日常公用支出。</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方正仿宋_GBK"/>
          <w:sz w:val="32"/>
          <w:szCs w:val="32"/>
        </w:rPr>
        <w:t>、项目支出：为保障彩票销售正常运行而发生的业务支出。</w:t>
      </w:r>
    </w:p>
    <w:p>
      <w:pPr>
        <w:ind w:firstLine="480" w:firstLineChars="15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6</w:t>
      </w:r>
      <w:r>
        <w:rPr>
          <w:rFonts w:hint="eastAsia" w:ascii="Times New Roman" w:hAnsi="Times New Roman" w:eastAsia="方正仿宋_GBK" w:cs="方正仿宋_GBK"/>
          <w:sz w:val="32"/>
          <w:szCs w:val="32"/>
        </w:rPr>
        <w:t>、上年结转：指以前年度尚未完成、结转到本年仍按原规定用途继续使用的资金。</w:t>
      </w:r>
    </w:p>
    <w:p>
      <w:pPr>
        <w:ind w:firstLine="320" w:firstLineChars="1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7</w:t>
      </w:r>
      <w:r>
        <w:rPr>
          <w:rFonts w:hint="eastAsia" w:ascii="Times New Roman" w:hAnsi="Times New Roman" w:eastAsia="方正仿宋_GBK" w:cs="方正仿宋_GBK"/>
          <w:sz w:val="32"/>
          <w:szCs w:val="32"/>
        </w:rPr>
        <w:t>、“三公”经费：纳入省级财政预算管理的“三公”经费，是指省级部门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等支出；公务接待费反映单位按规定开支的各类公务接待（含外宾接待）支出。</w:t>
      </w:r>
    </w:p>
    <w:p>
      <w:pPr>
        <w:ind w:firstLine="800" w:firstLineChars="250"/>
        <w:rPr>
          <w:rFonts w:ascii="Times New Roman" w:hAnsi="Times New Roman" w:eastAsia="方正仿宋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方正仿宋_GBK"/>
          <w:sz w:val="32"/>
          <w:szCs w:val="32"/>
        </w:rPr>
        <w:t>、机关运行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autoSpaceDE w:val="0"/>
        <w:autoSpaceDN w:val="0"/>
        <w:adjustRightInd w:val="0"/>
        <w:ind w:firstLine="800" w:firstLineChars="250"/>
        <w:jc w:val="left"/>
        <w:rPr>
          <w:rFonts w:ascii="黑体" w:hAnsi="黑体" w:eastAsia="黑体" w:cs="Times New Roman"/>
          <w:sz w:val="32"/>
          <w:szCs w:val="32"/>
        </w:rPr>
      </w:pPr>
      <w:r>
        <w:rPr>
          <w:rFonts w:hint="eastAsia" w:ascii="黑体" w:hAnsi="黑体" w:eastAsia="黑体" w:cs="黑体"/>
          <w:sz w:val="32"/>
          <w:szCs w:val="32"/>
        </w:rPr>
        <w:t>九、其他需要说明的事项</w:t>
      </w:r>
    </w:p>
    <w:p>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方正仿宋_GBK"/>
          <w:sz w:val="32"/>
          <w:szCs w:val="32"/>
        </w:rPr>
        <w:t>我部门无其他需要说明的事项。</w:t>
      </w:r>
    </w:p>
    <w:p>
      <w:pPr>
        <w:autoSpaceDE w:val="0"/>
        <w:autoSpaceDN w:val="0"/>
        <w:adjustRightInd w:val="0"/>
        <w:jc w:val="left"/>
        <w:rPr>
          <w:rFonts w:ascii="黑体" w:hAnsi="黑体" w:eastAsia="黑体" w:cs="Times New Roman"/>
          <w:sz w:val="32"/>
          <w:szCs w:val="32"/>
        </w:rPr>
      </w:pPr>
    </w:p>
    <w:p>
      <w:pPr>
        <w:ind w:firstLine="640" w:firstLineChars="200"/>
        <w:rPr>
          <w:rFonts w:ascii="仿宋_GB2312" w:hAnsi="Times New Roman" w:eastAsia="仿宋_GB2312" w:cs="Times New Roman"/>
          <w:sz w:val="32"/>
          <w:szCs w:val="3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931586D-7736-4D31-9944-56A6C36507A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embedRegular r:id="rId2" w:fontKey="{BDBEC0FB-3ABB-4B92-851E-2BC00E95CBC7}"/>
  </w:font>
  <w:font w:name="方正小标宋_GBK">
    <w:panose1 w:val="02000000000000000000"/>
    <w:charset w:val="86"/>
    <w:family w:val="script"/>
    <w:pitch w:val="default"/>
    <w:sig w:usb0="A00002BF" w:usb1="38CF7CFA" w:usb2="00082016" w:usb3="00000000" w:csb0="00040001" w:csb1="00000000"/>
    <w:embedRegular r:id="rId3" w:fontKey="{3C58945E-6D0D-4E4A-A63E-AA81E4118ACE}"/>
  </w:font>
  <w:font w:name="方正仿宋_GBK">
    <w:panose1 w:val="02000000000000000000"/>
    <w:charset w:val="86"/>
    <w:family w:val="script"/>
    <w:pitch w:val="default"/>
    <w:sig w:usb0="A00002BF" w:usb1="38CF7CFA" w:usb2="00082016" w:usb3="00000000" w:csb0="00040001" w:csb1="00000000"/>
    <w:embedRegular r:id="rId4" w:fontKey="{0600E8EB-B0DB-4E5E-8939-AEC23DAE9882}"/>
  </w:font>
  <w:font w:name="方正楷体_GBK">
    <w:altName w:val="微软雅黑"/>
    <w:panose1 w:val="00000000000000000000"/>
    <w:charset w:val="86"/>
    <w:family w:val="script"/>
    <w:pitch w:val="default"/>
    <w:sig w:usb0="00000000" w:usb1="00000000" w:usb2="00000010" w:usb3="00000000" w:csb0="00040000" w:csb1="00000000"/>
    <w:embedRegular r:id="rId5" w:fontKey="{50F929B6-0E44-448D-9296-1BA66775B4D4}"/>
  </w:font>
  <w:font w:name="方正书宋_GBK">
    <w:altName w:val="微软雅黑"/>
    <w:panose1 w:val="00000000000000000000"/>
    <w:charset w:val="86"/>
    <w:family w:val="script"/>
    <w:pitch w:val="default"/>
    <w:sig w:usb0="00000000" w:usb1="00000000" w:usb2="00000010" w:usb3="00000000" w:csb0="00040000" w:csb1="00000000"/>
    <w:embedRegular r:id="rId6" w:fontKey="{35616086-B132-4C7C-98A1-FC382842830E}"/>
  </w:font>
  <w:font w:name="仿宋_GB2312">
    <w:panose1 w:val="02010609030101010101"/>
    <w:charset w:val="86"/>
    <w:family w:val="modern"/>
    <w:pitch w:val="default"/>
    <w:sig w:usb0="00000001" w:usb1="080E0000" w:usb2="00000000" w:usb3="00000000" w:csb0="00040000" w:csb1="00000000"/>
    <w:embedRegular r:id="rId7" w:fontKey="{E8520478-6C7A-446A-BAC5-DDD5AA9CFF11}"/>
  </w:font>
  <w:font w:name="楷体_GB2312">
    <w:altName w:val="楷体"/>
    <w:panose1 w:val="00000000000000000000"/>
    <w:charset w:val="86"/>
    <w:family w:val="modern"/>
    <w:pitch w:val="default"/>
    <w:sig w:usb0="00000000" w:usb1="00000000" w:usb2="00000010" w:usb3="00000000" w:csb0="00040000" w:csb1="00000000"/>
    <w:embedRegular r:id="rId8" w:fontKey="{C99A5AEE-2D2A-4462-8E3C-3D14F67A34C9}"/>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1"/>
  <w:bordersDoNotSurroundFooter w:val="1"/>
  <w:doNotTrackMoves/>
  <w:documentProtection w:enforcement="0"/>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6032"/>
    <w:rsid w:val="00012DAA"/>
    <w:rsid w:val="0001475C"/>
    <w:rsid w:val="00026B0D"/>
    <w:rsid w:val="00032E04"/>
    <w:rsid w:val="00037AF6"/>
    <w:rsid w:val="0004183B"/>
    <w:rsid w:val="00042A86"/>
    <w:rsid w:val="00046AA6"/>
    <w:rsid w:val="00075D5F"/>
    <w:rsid w:val="000B529B"/>
    <w:rsid w:val="000B5911"/>
    <w:rsid w:val="000C2C9F"/>
    <w:rsid w:val="000C3A19"/>
    <w:rsid w:val="000C4830"/>
    <w:rsid w:val="000D5F94"/>
    <w:rsid w:val="000D76A1"/>
    <w:rsid w:val="000F7207"/>
    <w:rsid w:val="001245BB"/>
    <w:rsid w:val="001251A3"/>
    <w:rsid w:val="00142B67"/>
    <w:rsid w:val="001573B0"/>
    <w:rsid w:val="00182B3B"/>
    <w:rsid w:val="00187816"/>
    <w:rsid w:val="001B6DCA"/>
    <w:rsid w:val="001C6AC4"/>
    <w:rsid w:val="001D3CE6"/>
    <w:rsid w:val="001E05F9"/>
    <w:rsid w:val="001F7873"/>
    <w:rsid w:val="0020731C"/>
    <w:rsid w:val="00241FD4"/>
    <w:rsid w:val="00251B12"/>
    <w:rsid w:val="00284D81"/>
    <w:rsid w:val="00296113"/>
    <w:rsid w:val="002A673A"/>
    <w:rsid w:val="002C5965"/>
    <w:rsid w:val="002C5E13"/>
    <w:rsid w:val="002C62BC"/>
    <w:rsid w:val="002E0EB8"/>
    <w:rsid w:val="002F3BA3"/>
    <w:rsid w:val="002F3E58"/>
    <w:rsid w:val="0030542C"/>
    <w:rsid w:val="00311B7A"/>
    <w:rsid w:val="00320C34"/>
    <w:rsid w:val="003818E8"/>
    <w:rsid w:val="00396533"/>
    <w:rsid w:val="00424943"/>
    <w:rsid w:val="0043175C"/>
    <w:rsid w:val="00437296"/>
    <w:rsid w:val="00451590"/>
    <w:rsid w:val="00451871"/>
    <w:rsid w:val="00457DAA"/>
    <w:rsid w:val="004706DE"/>
    <w:rsid w:val="00472923"/>
    <w:rsid w:val="00493E7E"/>
    <w:rsid w:val="004B0C3A"/>
    <w:rsid w:val="004D5788"/>
    <w:rsid w:val="004E0792"/>
    <w:rsid w:val="004E3066"/>
    <w:rsid w:val="004E74CD"/>
    <w:rsid w:val="004F56AE"/>
    <w:rsid w:val="00503318"/>
    <w:rsid w:val="005048C6"/>
    <w:rsid w:val="00504925"/>
    <w:rsid w:val="00531DDA"/>
    <w:rsid w:val="00532A63"/>
    <w:rsid w:val="005453C0"/>
    <w:rsid w:val="00572067"/>
    <w:rsid w:val="00573562"/>
    <w:rsid w:val="00577ACF"/>
    <w:rsid w:val="0058149E"/>
    <w:rsid w:val="00590ECE"/>
    <w:rsid w:val="005A3E0B"/>
    <w:rsid w:val="005A49B5"/>
    <w:rsid w:val="005A6281"/>
    <w:rsid w:val="005B3903"/>
    <w:rsid w:val="005C3BF9"/>
    <w:rsid w:val="005D09E7"/>
    <w:rsid w:val="005E6AA0"/>
    <w:rsid w:val="00612A38"/>
    <w:rsid w:val="00613954"/>
    <w:rsid w:val="00614A29"/>
    <w:rsid w:val="00641305"/>
    <w:rsid w:val="00662D3B"/>
    <w:rsid w:val="0066419A"/>
    <w:rsid w:val="00673D76"/>
    <w:rsid w:val="006832A2"/>
    <w:rsid w:val="006854F0"/>
    <w:rsid w:val="0068792D"/>
    <w:rsid w:val="00692F1A"/>
    <w:rsid w:val="006946A2"/>
    <w:rsid w:val="006B1C4A"/>
    <w:rsid w:val="006B610D"/>
    <w:rsid w:val="006E49F5"/>
    <w:rsid w:val="007013C8"/>
    <w:rsid w:val="00710A38"/>
    <w:rsid w:val="00713E9F"/>
    <w:rsid w:val="00724FB1"/>
    <w:rsid w:val="00725462"/>
    <w:rsid w:val="0072611A"/>
    <w:rsid w:val="00744ACA"/>
    <w:rsid w:val="00752503"/>
    <w:rsid w:val="00753836"/>
    <w:rsid w:val="0075393C"/>
    <w:rsid w:val="00754592"/>
    <w:rsid w:val="00776C08"/>
    <w:rsid w:val="00776D30"/>
    <w:rsid w:val="007C219A"/>
    <w:rsid w:val="007E1DA8"/>
    <w:rsid w:val="007F05A2"/>
    <w:rsid w:val="007F6C26"/>
    <w:rsid w:val="00802C8C"/>
    <w:rsid w:val="00813208"/>
    <w:rsid w:val="008158B8"/>
    <w:rsid w:val="008334AE"/>
    <w:rsid w:val="00836FED"/>
    <w:rsid w:val="0083724E"/>
    <w:rsid w:val="00845CD2"/>
    <w:rsid w:val="00852B0D"/>
    <w:rsid w:val="00871580"/>
    <w:rsid w:val="00881692"/>
    <w:rsid w:val="0089592A"/>
    <w:rsid w:val="008A6576"/>
    <w:rsid w:val="008B3CC5"/>
    <w:rsid w:val="008B52CD"/>
    <w:rsid w:val="008C1A00"/>
    <w:rsid w:val="008D1428"/>
    <w:rsid w:val="008D1E59"/>
    <w:rsid w:val="008E0C3A"/>
    <w:rsid w:val="008E4261"/>
    <w:rsid w:val="008F090B"/>
    <w:rsid w:val="008F4662"/>
    <w:rsid w:val="009033E9"/>
    <w:rsid w:val="00905D08"/>
    <w:rsid w:val="00925753"/>
    <w:rsid w:val="009425F4"/>
    <w:rsid w:val="00966C5C"/>
    <w:rsid w:val="00971345"/>
    <w:rsid w:val="00973104"/>
    <w:rsid w:val="00990716"/>
    <w:rsid w:val="00995BF0"/>
    <w:rsid w:val="009A16D5"/>
    <w:rsid w:val="009A353D"/>
    <w:rsid w:val="009B0B77"/>
    <w:rsid w:val="009B511E"/>
    <w:rsid w:val="009C49CA"/>
    <w:rsid w:val="009E1722"/>
    <w:rsid w:val="009F12C4"/>
    <w:rsid w:val="009F443F"/>
    <w:rsid w:val="009F7128"/>
    <w:rsid w:val="00A00F48"/>
    <w:rsid w:val="00A3046A"/>
    <w:rsid w:val="00A321FC"/>
    <w:rsid w:val="00A44E3D"/>
    <w:rsid w:val="00A5660F"/>
    <w:rsid w:val="00A72D2E"/>
    <w:rsid w:val="00A74447"/>
    <w:rsid w:val="00A74CE5"/>
    <w:rsid w:val="00A8696B"/>
    <w:rsid w:val="00A911E7"/>
    <w:rsid w:val="00A92DA4"/>
    <w:rsid w:val="00A939D9"/>
    <w:rsid w:val="00AA4BEA"/>
    <w:rsid w:val="00AB6BD9"/>
    <w:rsid w:val="00AC66DA"/>
    <w:rsid w:val="00AE12B6"/>
    <w:rsid w:val="00AE3037"/>
    <w:rsid w:val="00B061C1"/>
    <w:rsid w:val="00B12336"/>
    <w:rsid w:val="00B20712"/>
    <w:rsid w:val="00B2315A"/>
    <w:rsid w:val="00B2488D"/>
    <w:rsid w:val="00B43238"/>
    <w:rsid w:val="00B45DD3"/>
    <w:rsid w:val="00B62E22"/>
    <w:rsid w:val="00B75216"/>
    <w:rsid w:val="00B91D52"/>
    <w:rsid w:val="00B9490F"/>
    <w:rsid w:val="00B95562"/>
    <w:rsid w:val="00BA1ACD"/>
    <w:rsid w:val="00BD09F8"/>
    <w:rsid w:val="00BD7B42"/>
    <w:rsid w:val="00C12435"/>
    <w:rsid w:val="00C541A0"/>
    <w:rsid w:val="00C62CF3"/>
    <w:rsid w:val="00C66057"/>
    <w:rsid w:val="00C80C41"/>
    <w:rsid w:val="00C92BFB"/>
    <w:rsid w:val="00CA69EF"/>
    <w:rsid w:val="00CA7176"/>
    <w:rsid w:val="00CC2005"/>
    <w:rsid w:val="00CC75B0"/>
    <w:rsid w:val="00CD2773"/>
    <w:rsid w:val="00CE143B"/>
    <w:rsid w:val="00D27003"/>
    <w:rsid w:val="00D46D57"/>
    <w:rsid w:val="00D57BF1"/>
    <w:rsid w:val="00D66188"/>
    <w:rsid w:val="00D741FB"/>
    <w:rsid w:val="00D8557C"/>
    <w:rsid w:val="00DB31D1"/>
    <w:rsid w:val="00DB35CF"/>
    <w:rsid w:val="00DE0427"/>
    <w:rsid w:val="00E00D98"/>
    <w:rsid w:val="00E167C7"/>
    <w:rsid w:val="00E527EA"/>
    <w:rsid w:val="00E73C20"/>
    <w:rsid w:val="00E7616C"/>
    <w:rsid w:val="00E93E5C"/>
    <w:rsid w:val="00EA5793"/>
    <w:rsid w:val="00EA6824"/>
    <w:rsid w:val="00EB53BD"/>
    <w:rsid w:val="00EC47F6"/>
    <w:rsid w:val="00ED4DE7"/>
    <w:rsid w:val="00EF757D"/>
    <w:rsid w:val="00F11C33"/>
    <w:rsid w:val="00F329D8"/>
    <w:rsid w:val="00F4117F"/>
    <w:rsid w:val="00F41E6D"/>
    <w:rsid w:val="00F42EA1"/>
    <w:rsid w:val="00F66032"/>
    <w:rsid w:val="00F87C1E"/>
    <w:rsid w:val="00F958C2"/>
    <w:rsid w:val="00FB76D8"/>
    <w:rsid w:val="00FF59A1"/>
    <w:rsid w:val="27901DE4"/>
    <w:rsid w:val="52F65E00"/>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name="toc 1"/>
    <w:lsdException w:unhideWhenUsed="0" w:uiPriority="99" w:name="toc 2"/>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8">
    <w:name w:val="Default Paragraph Font"/>
    <w:unhideWhenUsed/>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12"/>
    <w:semiHidden/>
    <w:uiPriority w:val="99"/>
    <w:rPr>
      <w:kern w:val="0"/>
      <w:sz w:val="18"/>
      <w:szCs w:val="18"/>
    </w:rPr>
  </w:style>
  <w:style w:type="paragraph" w:styleId="3">
    <w:name w:val="footer"/>
    <w:basedOn w:val="1"/>
    <w:link w:val="11"/>
    <w:uiPriority w:val="99"/>
    <w:pPr>
      <w:tabs>
        <w:tab w:val="center" w:pos="4153"/>
        <w:tab w:val="right" w:pos="8306"/>
      </w:tabs>
      <w:snapToGrid w:val="0"/>
      <w:jc w:val="left"/>
    </w:pPr>
    <w:rPr>
      <w:rFonts w:ascii="Times New Roman" w:hAnsi="Times New Roman" w:cs="Times New Roman"/>
      <w:kern w:val="0"/>
      <w:sz w:val="18"/>
      <w:szCs w:val="18"/>
    </w:rPr>
  </w:style>
  <w:style w:type="paragraph" w:styleId="4">
    <w:name w:val="header"/>
    <w:basedOn w:val="1"/>
    <w:link w:val="10"/>
    <w:uiPriority w:val="99"/>
    <w:pPr>
      <w:pBdr>
        <w:bottom w:val="single" w:color="auto" w:sz="6" w:space="1"/>
      </w:pBdr>
      <w:tabs>
        <w:tab w:val="center" w:pos="4153"/>
        <w:tab w:val="right" w:pos="8306"/>
      </w:tabs>
      <w:snapToGrid w:val="0"/>
      <w:jc w:val="center"/>
    </w:pPr>
    <w:rPr>
      <w:rFonts w:ascii="Times New Roman" w:hAnsi="Times New Roman" w:cs="Times New Roman"/>
      <w:kern w:val="0"/>
      <w:sz w:val="18"/>
      <w:szCs w:val="18"/>
    </w:rPr>
  </w:style>
  <w:style w:type="paragraph" w:styleId="5">
    <w:name w:val="toc 1"/>
    <w:basedOn w:val="1"/>
    <w:next w:val="1"/>
    <w:semiHidden/>
    <w:uiPriority w:val="99"/>
    <w:rPr>
      <w:rFonts w:ascii="Times New Roman" w:hAnsi="Times New Roman" w:cs="Times New Roman"/>
    </w:rPr>
  </w:style>
  <w:style w:type="paragraph" w:styleId="6">
    <w:name w:val="toc 2"/>
    <w:basedOn w:val="1"/>
    <w:next w:val="1"/>
    <w:semiHidden/>
    <w:uiPriority w:val="99"/>
    <w:pPr>
      <w:ind w:left="420" w:leftChars="200"/>
    </w:pPr>
    <w:rPr>
      <w:rFonts w:ascii="Times New Roman" w:hAnsi="Times New Roman" w:cs="Times New Roman"/>
    </w:rPr>
  </w:style>
  <w:style w:type="paragraph" w:styleId="7">
    <w:name w:val="Normal (Web)"/>
    <w:basedOn w:val="1"/>
    <w:uiPriority w:val="99"/>
    <w:pPr>
      <w:widowControl/>
      <w:spacing w:before="100" w:beforeAutospacing="1" w:after="100" w:afterAutospacing="1"/>
      <w:jc w:val="left"/>
    </w:pPr>
    <w:rPr>
      <w:rFonts w:ascii="宋体" w:hAnsi="宋体" w:cs="宋体"/>
      <w:kern w:val="0"/>
      <w:sz w:val="24"/>
      <w:szCs w:val="24"/>
    </w:rPr>
  </w:style>
  <w:style w:type="character" w:customStyle="1" w:styleId="10">
    <w:name w:val="页眉 Char"/>
    <w:basedOn w:val="8"/>
    <w:link w:val="4"/>
    <w:locked/>
    <w:uiPriority w:val="99"/>
    <w:rPr>
      <w:rFonts w:ascii="Times New Roman" w:hAnsi="Times New Roman" w:eastAsia="宋体" w:cs="Times New Roman"/>
      <w:sz w:val="18"/>
      <w:szCs w:val="18"/>
    </w:rPr>
  </w:style>
  <w:style w:type="character" w:customStyle="1" w:styleId="11">
    <w:name w:val="页脚 Char"/>
    <w:basedOn w:val="8"/>
    <w:link w:val="3"/>
    <w:locked/>
    <w:uiPriority w:val="99"/>
    <w:rPr>
      <w:rFonts w:ascii="Times New Roman" w:hAnsi="Times New Roman" w:eastAsia="宋体" w:cs="Times New Roman"/>
      <w:sz w:val="18"/>
      <w:szCs w:val="18"/>
    </w:rPr>
  </w:style>
  <w:style w:type="character" w:customStyle="1" w:styleId="12">
    <w:name w:val="批注框文本 Char"/>
    <w:basedOn w:val="8"/>
    <w:link w:val="2"/>
    <w:semiHidden/>
    <w:locked/>
    <w:uiPriority w:val="99"/>
    <w:rPr>
      <w:sz w:val="18"/>
      <w:szCs w:val="18"/>
    </w:rPr>
  </w:style>
  <w:style w:type="paragraph" w:customStyle="1" w:styleId="13">
    <w:name w:val="Defaul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1394</Words>
  <Characters>7950</Characters>
  <Lines>66</Lines>
  <Paragraphs>18</Paragraphs>
  <TotalTime>0</TotalTime>
  <ScaleCrop>false</ScaleCrop>
  <LinksUpToDate>false</LinksUpToDate>
  <CharactersWithSpaces>9326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2017-01-13T03:22:00Z</dcterms:created>
  <dc:creator>guest</dc:creator>
  <cp:lastModifiedBy>tanzhaofeng</cp:lastModifiedBy>
  <cp:lastPrinted>2017-11-09T01:12:00Z</cp:lastPrinted>
  <dcterms:modified xsi:type="dcterms:W3CDTF">2023-08-07T02:40:32Z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