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河北省</w:t>
      </w:r>
      <w:r>
        <w:rPr>
          <w:rFonts w:hint="eastAsia" w:ascii="Times New Roman" w:hAnsi="Times New Roman" w:eastAsia="方正小标宋_GBK" w:cs="Times New Roman"/>
          <w:sz w:val="44"/>
          <w:szCs w:val="44"/>
        </w:rPr>
        <w:t>福利彩票发行管理中心</w:t>
      </w:r>
      <w:r>
        <w:rPr>
          <w:rFonts w:ascii="Times New Roman" w:hAnsi="Times New Roman" w:eastAsia="方正小标宋_GBK" w:cs="Times New Roman"/>
          <w:sz w:val="44"/>
          <w:szCs w:val="44"/>
        </w:rPr>
        <w:t>201</w:t>
      </w:r>
      <w:r>
        <w:rPr>
          <w:rFonts w:hint="eastAsia" w:ascii="Times New Roman" w:hAnsi="Times New Roman" w:eastAsia="方正小标宋_GBK" w:cs="Times New Roman"/>
          <w:sz w:val="44"/>
          <w:szCs w:val="44"/>
        </w:rPr>
        <w:t>9</w:t>
      </w:r>
      <w:r>
        <w:rPr>
          <w:rFonts w:ascii="Times New Roman" w:hAnsi="Times New Roman" w:eastAsia="方正小标宋_GBK" w:cs="Times New Roman"/>
          <w:sz w:val="44"/>
          <w:szCs w:val="44"/>
        </w:rPr>
        <w:t>年部门预算信息公开</w:t>
      </w:r>
      <w:r>
        <w:rPr>
          <w:rFonts w:hint="eastAsia" w:ascii="Times New Roman" w:hAnsi="Times New Roman" w:eastAsia="方正小标宋_GBK" w:cs="Times New Roman"/>
          <w:sz w:val="44"/>
          <w:szCs w:val="44"/>
        </w:rPr>
        <w:t>情况说明</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w:t>
      </w:r>
      <w:r>
        <w:rPr>
          <w:rFonts w:hint="eastAsia" w:ascii="Times New Roman" w:hAnsi="Times New Roman" w:eastAsia="方正仿宋_GBK" w:cs="Times New Roman"/>
          <w:sz w:val="32"/>
          <w:szCs w:val="32"/>
          <w:lang w:eastAsia="zh-CN"/>
        </w:rPr>
        <w:t>《中华人民共和国预算法》</w:t>
      </w:r>
      <w:bookmarkStart w:id="4" w:name="_GoBack"/>
      <w:bookmarkEnd w:id="4"/>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《地方预决算公开操作规程》和《河北省省级预算公开办法》</w:t>
      </w:r>
      <w:r>
        <w:rPr>
          <w:rFonts w:hint="eastAsia" w:ascii="Times New Roman" w:hAnsi="Times New Roman" w:eastAsia="方正仿宋_GBK" w:cs="Times New Roman"/>
          <w:sz w:val="32"/>
          <w:szCs w:val="32"/>
        </w:rPr>
        <w:t>规定</w:t>
      </w:r>
      <w:r>
        <w:rPr>
          <w:rFonts w:ascii="Times New Roman" w:hAnsi="Times New Roman" w:eastAsia="方正仿宋_GBK" w:cs="Times New Roman"/>
          <w:sz w:val="32"/>
          <w:szCs w:val="32"/>
        </w:rPr>
        <w:t>，现将河北省</w:t>
      </w:r>
      <w:r>
        <w:rPr>
          <w:rFonts w:hint="eastAsia" w:ascii="Times New Roman" w:hAnsi="Times New Roman" w:eastAsia="方正仿宋_GBK" w:cs="Times New Roman"/>
          <w:sz w:val="32"/>
          <w:szCs w:val="32"/>
        </w:rPr>
        <w:t>福利彩票发行管理中心</w:t>
      </w:r>
      <w:r>
        <w:rPr>
          <w:rFonts w:ascii="Times New Roman" w:hAnsi="Times New Roman" w:eastAsia="方正仿宋_GBK" w:cs="Times New Roman"/>
          <w:sz w:val="32"/>
          <w:szCs w:val="32"/>
        </w:rPr>
        <w:t>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年部门预算公开如下：</w:t>
      </w:r>
    </w:p>
    <w:p>
      <w:pPr>
        <w:ind w:firstLine="640"/>
        <w:rPr>
          <w:rFonts w:ascii="黑体" w:hAnsi="黑体" w:eastAsia="黑体" w:cs="Times New Roman"/>
          <w:sz w:val="32"/>
          <w:szCs w:val="32"/>
        </w:rPr>
      </w:pPr>
      <w:r>
        <w:rPr>
          <w:rFonts w:hint="eastAsia" w:ascii="黑体" w:hAnsi="黑体" w:eastAsia="黑体" w:cs="Times New Roman"/>
          <w:sz w:val="32"/>
          <w:szCs w:val="32"/>
        </w:rPr>
        <w:t>一、部门职责及机构设置情况</w:t>
      </w:r>
    </w:p>
    <w:p>
      <w:pPr>
        <w:ind w:firstLine="643" w:firstLineChars="200"/>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部门</w:t>
      </w:r>
      <w:r>
        <w:rPr>
          <w:rFonts w:ascii="Times New Roman" w:hAnsi="Times New Roman" w:eastAsia="方正仿宋_GBK" w:cs="Times New Roman"/>
          <w:b/>
          <w:sz w:val="32"/>
          <w:szCs w:val="32"/>
        </w:rPr>
        <w:t>职责：</w:t>
      </w:r>
    </w:p>
    <w:p>
      <w:pPr>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方正仿宋_GBK"/>
          <w:sz w:val="32"/>
          <w:szCs w:val="32"/>
        </w:rPr>
        <w:t>经河北省人民政府批准，河北省福利彩票发行管理中心成立于</w:t>
      </w:r>
      <w:r>
        <w:rPr>
          <w:rFonts w:ascii="方正仿宋_GBK" w:hAnsi="Times New Roman" w:eastAsia="方正仿宋_GBK" w:cs="方正仿宋_GBK"/>
          <w:sz w:val="32"/>
          <w:szCs w:val="32"/>
        </w:rPr>
        <w:t>1988</w:t>
      </w:r>
      <w:r>
        <w:rPr>
          <w:rFonts w:hint="eastAsia" w:ascii="方正仿宋_GBK" w:hAnsi="Times New Roman" w:eastAsia="方正仿宋_GBK" w:cs="方正仿宋_GBK"/>
          <w:sz w:val="32"/>
          <w:szCs w:val="32"/>
        </w:rPr>
        <w:t>年</w:t>
      </w:r>
      <w:r>
        <w:rPr>
          <w:rFonts w:ascii="方正仿宋_GBK" w:hAnsi="Times New Roman" w:eastAsia="方正仿宋_GBK" w:cs="方正仿宋_GBK"/>
          <w:sz w:val="32"/>
          <w:szCs w:val="32"/>
        </w:rPr>
        <w:t>6</w:t>
      </w:r>
      <w:r>
        <w:rPr>
          <w:rFonts w:hint="eastAsia" w:ascii="方正仿宋_GBK" w:hAnsi="Times New Roman" w:eastAsia="方正仿宋_GBK" w:cs="方正仿宋_GBK"/>
          <w:sz w:val="32"/>
          <w:szCs w:val="32"/>
        </w:rPr>
        <w:t>月，又名河北省社会福利有奖募捐委员会办公室，是隶属于河北省民政厅领导的正处级财政性资金零补助事业单位。在业务上接受中国福利彩票发行管理中心的监督、指导，按照“扶老、助残、救孤、济困”的行业宗旨，主要负责全省福利彩票发行销售的计划组织、技术保障、市场开发、渠道建设、营销宣传、开奖兑奖、财务管理等工作，以动员社会力量，在全省销售福利彩票，筹集社会公益金，促进我省社会福利事业发展。</w:t>
      </w:r>
    </w:p>
    <w:p>
      <w:pPr>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方正仿宋_GBK"/>
          <w:sz w:val="32"/>
          <w:szCs w:val="32"/>
        </w:rPr>
        <w:t>在中国福利彩票发行管理中心的统一组织领导下，河北省福利彩票发行管理中心负责全省的福利彩票销售工作，主要职责是：</w:t>
      </w:r>
    </w:p>
    <w:p>
      <w:pPr>
        <w:ind w:firstLine="960" w:firstLineChars="300"/>
        <w:rPr>
          <w:rFonts w:ascii="方正仿宋_GBK" w:hAnsi="Times New Roman" w:eastAsia="方正仿宋_GBK" w:cs="Times New Roman"/>
          <w:sz w:val="32"/>
          <w:szCs w:val="32"/>
        </w:rPr>
      </w:pPr>
      <w:r>
        <w:rPr>
          <w:rFonts w:ascii="方正仿宋_GBK" w:hAnsi="Times New Roman" w:eastAsia="方正仿宋_GBK" w:cs="方正仿宋_GBK"/>
          <w:sz w:val="32"/>
          <w:szCs w:val="32"/>
        </w:rPr>
        <w:t>1</w:t>
      </w:r>
      <w:r>
        <w:rPr>
          <w:rFonts w:hint="eastAsia" w:ascii="方正仿宋_GBK" w:hAnsi="Times New Roman" w:eastAsia="方正仿宋_GBK" w:cs="方正仿宋_GBK"/>
          <w:sz w:val="32"/>
          <w:szCs w:val="32"/>
        </w:rPr>
        <w:t>、制定本行政区域福利彩票销售管理办法和工作规范；</w:t>
      </w:r>
    </w:p>
    <w:p>
      <w:pPr>
        <w:ind w:firstLine="960" w:firstLineChars="300"/>
        <w:rPr>
          <w:rFonts w:ascii="方正仿宋_GBK" w:hAnsi="Times New Roman" w:eastAsia="方正仿宋_GBK" w:cs="Times New Roman"/>
          <w:sz w:val="32"/>
          <w:szCs w:val="32"/>
        </w:rPr>
      </w:pPr>
      <w:r>
        <w:rPr>
          <w:rFonts w:ascii="方正仿宋_GBK" w:hAnsi="Times New Roman" w:eastAsia="方正仿宋_GBK" w:cs="方正仿宋_GBK"/>
          <w:sz w:val="32"/>
          <w:szCs w:val="32"/>
        </w:rPr>
        <w:t>2</w:t>
      </w:r>
      <w:r>
        <w:rPr>
          <w:rFonts w:hint="eastAsia" w:ascii="方正仿宋_GBK" w:hAnsi="Times New Roman" w:eastAsia="方正仿宋_GBK" w:cs="方正仿宋_GBK"/>
          <w:sz w:val="32"/>
          <w:szCs w:val="32"/>
        </w:rPr>
        <w:t>、向彩票发行机构提出停止彩票品种或者变更彩票品种审批事项的建议；</w:t>
      </w:r>
    </w:p>
    <w:p>
      <w:pPr>
        <w:ind w:firstLine="960" w:firstLineChars="300"/>
        <w:rPr>
          <w:rFonts w:ascii="方正仿宋_GBK" w:hAnsi="Times New Roman" w:eastAsia="方正仿宋_GBK" w:cs="Times New Roman"/>
          <w:sz w:val="32"/>
          <w:szCs w:val="32"/>
        </w:rPr>
      </w:pPr>
      <w:r>
        <w:rPr>
          <w:rFonts w:ascii="方正仿宋_GBK" w:hAnsi="Times New Roman" w:eastAsia="方正仿宋_GBK" w:cs="方正仿宋_GBK"/>
          <w:sz w:val="32"/>
          <w:szCs w:val="32"/>
        </w:rPr>
        <w:t>3</w:t>
      </w:r>
      <w:r>
        <w:rPr>
          <w:rFonts w:hint="eastAsia" w:ascii="方正仿宋_GBK" w:hAnsi="Times New Roman" w:eastAsia="方正仿宋_GBK" w:cs="方正仿宋_GBK"/>
          <w:sz w:val="32"/>
          <w:szCs w:val="32"/>
        </w:rPr>
        <w:t>、向同级财政部门提出本行政区域彩票销售实施方案，经审核后组织实施；</w:t>
      </w:r>
    </w:p>
    <w:p>
      <w:pPr>
        <w:ind w:firstLine="960" w:firstLineChars="300"/>
        <w:rPr>
          <w:rFonts w:ascii="方正仿宋_GBK" w:hAnsi="Times New Roman" w:eastAsia="方正仿宋_GBK" w:cs="Times New Roman"/>
          <w:sz w:val="32"/>
          <w:szCs w:val="32"/>
        </w:rPr>
      </w:pPr>
      <w:r>
        <w:rPr>
          <w:rFonts w:ascii="方正仿宋_GBK" w:hAnsi="Times New Roman" w:eastAsia="方正仿宋_GBK" w:cs="方正仿宋_GBK"/>
          <w:sz w:val="32"/>
          <w:szCs w:val="32"/>
        </w:rPr>
        <w:t>4</w:t>
      </w:r>
      <w:r>
        <w:rPr>
          <w:rFonts w:hint="eastAsia" w:ascii="方正仿宋_GBK" w:hAnsi="Times New Roman" w:eastAsia="方正仿宋_GBK" w:cs="方正仿宋_GBK"/>
          <w:sz w:val="32"/>
          <w:szCs w:val="32"/>
        </w:rPr>
        <w:t>、负责本行政区域福利彩票销售系统的建设、运营和维护；</w:t>
      </w:r>
    </w:p>
    <w:p>
      <w:pPr>
        <w:ind w:firstLine="960" w:firstLineChars="300"/>
        <w:rPr>
          <w:rFonts w:ascii="方正仿宋_GBK" w:hAnsi="Times New Roman" w:eastAsia="方正仿宋_GBK" w:cs="Times New Roman"/>
          <w:sz w:val="32"/>
          <w:szCs w:val="32"/>
        </w:rPr>
      </w:pPr>
      <w:r>
        <w:rPr>
          <w:rFonts w:ascii="方正仿宋_GBK" w:hAnsi="Times New Roman" w:eastAsia="方正仿宋_GBK" w:cs="方正仿宋_GBK"/>
          <w:sz w:val="32"/>
          <w:szCs w:val="32"/>
        </w:rPr>
        <w:t>5</w:t>
      </w:r>
      <w:r>
        <w:rPr>
          <w:rFonts w:hint="eastAsia" w:ascii="方正仿宋_GBK" w:hAnsi="Times New Roman" w:eastAsia="方正仿宋_GBK" w:cs="方正仿宋_GBK"/>
          <w:sz w:val="32"/>
          <w:szCs w:val="32"/>
        </w:rPr>
        <w:t>、负责实施本行政区域福利彩票销售系统数据管理、资金归集结算、销售渠道规划、物流管理、开奖兑奖；</w:t>
      </w:r>
    </w:p>
    <w:p>
      <w:pPr>
        <w:ind w:firstLine="960" w:firstLineChars="300"/>
        <w:rPr>
          <w:rFonts w:ascii="方正仿宋_GBK" w:hAnsi="Times New Roman" w:eastAsia="方正仿宋_GBK" w:cs="Times New Roman"/>
          <w:sz w:val="32"/>
          <w:szCs w:val="32"/>
        </w:rPr>
      </w:pPr>
      <w:r>
        <w:rPr>
          <w:rFonts w:ascii="方正仿宋_GBK" w:hAnsi="Times New Roman" w:eastAsia="方正仿宋_GBK" w:cs="方正仿宋_GBK"/>
          <w:sz w:val="32"/>
          <w:szCs w:val="32"/>
        </w:rPr>
        <w:t>6</w:t>
      </w:r>
      <w:r>
        <w:rPr>
          <w:rFonts w:hint="eastAsia" w:ascii="方正仿宋_GBK" w:hAnsi="Times New Roman" w:eastAsia="方正仿宋_GBK" w:cs="方正仿宋_GBK"/>
          <w:sz w:val="32"/>
          <w:szCs w:val="32"/>
        </w:rPr>
        <w:t>、负责组织实施本行政区域福利彩票的形象建设、彩票代销、营销宣传、业务培训、人才队伍建设等工作。</w:t>
      </w:r>
    </w:p>
    <w:p>
      <w:pPr>
        <w:autoSpaceDE w:val="0"/>
        <w:autoSpaceDN w:val="0"/>
        <w:adjustRightInd w:val="0"/>
        <w:ind w:left="198" w:firstLine="643" w:firstLineChars="200"/>
        <w:jc w:val="left"/>
        <w:rPr>
          <w:rFonts w:ascii="方正仿宋_GBK" w:hAnsi="Times New Roman" w:eastAsia="方正仿宋_GBK" w:cs="Times New Roman"/>
          <w:b/>
          <w:sz w:val="32"/>
          <w:szCs w:val="32"/>
        </w:rPr>
      </w:pPr>
      <w:r>
        <w:rPr>
          <w:rFonts w:hint="eastAsia" w:ascii="方正仿宋_GBK" w:hAnsi="Times New Roman" w:eastAsia="方正仿宋_GBK" w:cs="Times New Roman"/>
          <w:b/>
          <w:sz w:val="32"/>
          <w:szCs w:val="32"/>
        </w:rPr>
        <w:t>机构设置：</w:t>
      </w:r>
    </w:p>
    <w:p>
      <w:pPr>
        <w:ind w:firstLine="5283" w:firstLineChars="1650"/>
        <w:rPr>
          <w:rFonts w:ascii="方正书宋_GBK" w:eastAsia="方正书宋_GBK" w:cs="Times New Roman"/>
          <w:b/>
          <w:bCs/>
          <w:sz w:val="32"/>
          <w:szCs w:val="32"/>
        </w:rPr>
      </w:pPr>
      <w:r>
        <w:rPr>
          <w:rFonts w:hint="eastAsia" w:ascii="方正书宋_GBK" w:eastAsia="方正书宋_GBK" w:cs="方正书宋_GBK"/>
          <w:b/>
          <w:bCs/>
          <w:sz w:val="32"/>
          <w:szCs w:val="32"/>
        </w:rPr>
        <w:t>部门机构设置情况</w:t>
      </w:r>
    </w:p>
    <w:tbl>
      <w:tblPr>
        <w:tblStyle w:val="8"/>
        <w:tblW w:w="103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43"/>
        <w:gridCol w:w="1646"/>
        <w:gridCol w:w="1785"/>
        <w:gridCol w:w="25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00" w:hRule="atLeast"/>
          <w:tblHeader/>
          <w:jc w:val="center"/>
        </w:trPr>
        <w:tc>
          <w:tcPr>
            <w:tcW w:w="4443" w:type="dxa"/>
            <w:vMerge w:val="restart"/>
            <w:vAlign w:val="center"/>
          </w:tcPr>
          <w:p>
            <w:pPr>
              <w:spacing w:line="300" w:lineRule="exact"/>
              <w:jc w:val="center"/>
              <w:rPr>
                <w:rFonts w:ascii="Times New Roman" w:hAnsi="Times New Roman" w:eastAsia="方正书宋_GBK" w:cs="Times New Roman"/>
                <w:b/>
                <w:bCs/>
                <w:sz w:val="28"/>
                <w:szCs w:val="28"/>
              </w:rPr>
            </w:pPr>
            <w:r>
              <w:rPr>
                <w:rFonts w:hint="eastAsia" w:ascii="Times New Roman" w:hAnsi="Times New Roman" w:eastAsia="方正书宋_GBK" w:cs="方正书宋_GBK"/>
                <w:b/>
                <w:bCs/>
                <w:sz w:val="28"/>
                <w:szCs w:val="28"/>
              </w:rPr>
              <w:t>单位名称</w:t>
            </w:r>
          </w:p>
        </w:tc>
        <w:tc>
          <w:tcPr>
            <w:tcW w:w="1646" w:type="dxa"/>
            <w:vMerge w:val="restart"/>
            <w:vAlign w:val="center"/>
          </w:tcPr>
          <w:p>
            <w:pPr>
              <w:spacing w:line="300" w:lineRule="exact"/>
              <w:jc w:val="center"/>
              <w:rPr>
                <w:rFonts w:ascii="Times New Roman" w:hAnsi="Times New Roman" w:eastAsia="方正书宋_GBK" w:cs="Times New Roman"/>
                <w:b/>
                <w:bCs/>
                <w:sz w:val="28"/>
                <w:szCs w:val="28"/>
              </w:rPr>
            </w:pPr>
            <w:r>
              <w:rPr>
                <w:rFonts w:hint="eastAsia" w:ascii="Times New Roman" w:hAnsi="Times New Roman" w:eastAsia="方正书宋_GBK" w:cs="方正书宋_GBK"/>
                <w:b/>
                <w:bCs/>
                <w:sz w:val="28"/>
                <w:szCs w:val="28"/>
              </w:rPr>
              <w:t>单位性质</w:t>
            </w:r>
          </w:p>
        </w:tc>
        <w:tc>
          <w:tcPr>
            <w:tcW w:w="1785" w:type="dxa"/>
            <w:vMerge w:val="restart"/>
            <w:vAlign w:val="center"/>
          </w:tcPr>
          <w:p>
            <w:pPr>
              <w:spacing w:line="300" w:lineRule="exact"/>
              <w:jc w:val="center"/>
              <w:rPr>
                <w:rFonts w:ascii="Times New Roman" w:hAnsi="Times New Roman" w:eastAsia="方正书宋_GBK" w:cs="Times New Roman"/>
                <w:b/>
                <w:bCs/>
                <w:sz w:val="28"/>
                <w:szCs w:val="28"/>
              </w:rPr>
            </w:pPr>
            <w:r>
              <w:rPr>
                <w:rFonts w:hint="eastAsia" w:ascii="Times New Roman" w:hAnsi="Times New Roman" w:eastAsia="方正书宋_GBK" w:cs="方正书宋_GBK"/>
                <w:b/>
                <w:bCs/>
                <w:sz w:val="28"/>
                <w:szCs w:val="28"/>
              </w:rPr>
              <w:t>单位规格</w:t>
            </w:r>
          </w:p>
        </w:tc>
        <w:tc>
          <w:tcPr>
            <w:tcW w:w="2520" w:type="dxa"/>
            <w:vMerge w:val="restart"/>
            <w:vAlign w:val="center"/>
          </w:tcPr>
          <w:p>
            <w:pPr>
              <w:spacing w:line="300" w:lineRule="exact"/>
              <w:jc w:val="center"/>
              <w:rPr>
                <w:rFonts w:ascii="Times New Roman" w:hAnsi="Times New Roman" w:eastAsia="方正书宋_GBK" w:cs="Times New Roman"/>
                <w:b/>
                <w:bCs/>
                <w:sz w:val="28"/>
                <w:szCs w:val="28"/>
              </w:rPr>
            </w:pPr>
            <w:r>
              <w:rPr>
                <w:rFonts w:hint="eastAsia" w:ascii="Times New Roman" w:hAnsi="Times New Roman" w:eastAsia="方正书宋_GBK" w:cs="方正书宋_GBK"/>
                <w:b/>
                <w:bCs/>
                <w:sz w:val="28"/>
                <w:szCs w:val="28"/>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7" w:hRule="atLeast"/>
          <w:tblHeader/>
          <w:jc w:val="center"/>
        </w:trPr>
        <w:tc>
          <w:tcPr>
            <w:tcW w:w="4443" w:type="dxa"/>
            <w:vMerge w:val="continue"/>
            <w:vAlign w:val="center"/>
          </w:tcPr>
          <w:p>
            <w:pPr>
              <w:spacing w:line="300" w:lineRule="exact"/>
              <w:jc w:val="left"/>
              <w:outlineLvl w:val="0"/>
              <w:rPr>
                <w:rFonts w:ascii="Times New Roman" w:hAnsi="Times New Roman" w:cs="Times New Roman"/>
                <w:sz w:val="28"/>
                <w:szCs w:val="28"/>
              </w:rPr>
            </w:pPr>
          </w:p>
        </w:tc>
        <w:tc>
          <w:tcPr>
            <w:tcW w:w="1646" w:type="dxa"/>
            <w:vMerge w:val="continue"/>
            <w:vAlign w:val="center"/>
          </w:tcPr>
          <w:p>
            <w:pPr>
              <w:spacing w:line="300" w:lineRule="exact"/>
              <w:jc w:val="left"/>
              <w:outlineLvl w:val="0"/>
              <w:rPr>
                <w:rFonts w:ascii="Times New Roman" w:hAnsi="Times New Roman" w:cs="Times New Roman"/>
                <w:sz w:val="28"/>
                <w:szCs w:val="28"/>
              </w:rPr>
            </w:pPr>
          </w:p>
        </w:tc>
        <w:tc>
          <w:tcPr>
            <w:tcW w:w="1785" w:type="dxa"/>
            <w:vMerge w:val="continue"/>
            <w:vAlign w:val="center"/>
          </w:tcPr>
          <w:p>
            <w:pPr>
              <w:spacing w:line="300" w:lineRule="exact"/>
              <w:jc w:val="left"/>
              <w:outlineLvl w:val="0"/>
              <w:rPr>
                <w:rFonts w:ascii="Times New Roman" w:hAnsi="Times New Roman" w:cs="Times New Roman"/>
                <w:sz w:val="28"/>
                <w:szCs w:val="28"/>
              </w:rPr>
            </w:pPr>
          </w:p>
        </w:tc>
        <w:tc>
          <w:tcPr>
            <w:tcW w:w="2520" w:type="dxa"/>
            <w:vMerge w:val="continue"/>
            <w:vAlign w:val="center"/>
          </w:tcPr>
          <w:p>
            <w:pPr>
              <w:spacing w:line="300" w:lineRule="exact"/>
              <w:jc w:val="left"/>
              <w:outlineLvl w:val="0"/>
              <w:rPr>
                <w:rFonts w:ascii="Times New Roman" w:hAnsi="Times New Roman"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09" w:hRule="atLeast"/>
          <w:jc w:val="center"/>
        </w:trPr>
        <w:tc>
          <w:tcPr>
            <w:tcW w:w="4443" w:type="dxa"/>
            <w:vAlign w:val="center"/>
          </w:tcPr>
          <w:p>
            <w:pPr>
              <w:spacing w:line="300" w:lineRule="exact"/>
              <w:jc w:val="left"/>
              <w:rPr>
                <w:rFonts w:ascii="方正书宋_GBK" w:hAnsi="Times New Roman" w:eastAsia="方正书宋_GBK" w:cs="Times New Roman"/>
                <w:sz w:val="28"/>
                <w:szCs w:val="28"/>
              </w:rPr>
            </w:pPr>
            <w:r>
              <w:rPr>
                <w:rFonts w:hint="eastAsia" w:ascii="方正书宋_GBK" w:hAnsi="Times New Roman" w:eastAsia="方正书宋_GBK" w:cs="方正书宋_GBK"/>
                <w:sz w:val="28"/>
                <w:szCs w:val="28"/>
              </w:rPr>
              <w:t>河北省</w:t>
            </w:r>
            <w:r>
              <w:rPr>
                <w:rFonts w:hint="eastAsia" w:ascii="方正书宋_GBK" w:hAnsi="Times New Roman" w:eastAsia="方正书宋_GBK" w:cs="方正书宋_GBK"/>
                <w:sz w:val="32"/>
                <w:szCs w:val="32"/>
              </w:rPr>
              <w:t>福利彩票发行管理中心</w:t>
            </w:r>
          </w:p>
        </w:tc>
        <w:tc>
          <w:tcPr>
            <w:tcW w:w="1646" w:type="dxa"/>
            <w:vAlign w:val="center"/>
          </w:tcPr>
          <w:p>
            <w:pPr>
              <w:spacing w:line="300" w:lineRule="exact"/>
              <w:jc w:val="left"/>
              <w:rPr>
                <w:rFonts w:ascii="Times New Roman" w:hAnsi="Times New Roman" w:eastAsia="方正书宋_GBK" w:cs="Times New Roman"/>
                <w:sz w:val="28"/>
                <w:szCs w:val="28"/>
              </w:rPr>
            </w:pPr>
            <w:r>
              <w:rPr>
                <w:rFonts w:hint="eastAsia" w:ascii="Times New Roman" w:hAnsi="Times New Roman" w:eastAsia="方正书宋_GBK" w:cs="方正书宋_GBK"/>
                <w:sz w:val="28"/>
                <w:szCs w:val="28"/>
              </w:rPr>
              <w:t>事业</w:t>
            </w:r>
          </w:p>
        </w:tc>
        <w:tc>
          <w:tcPr>
            <w:tcW w:w="1785" w:type="dxa"/>
            <w:vAlign w:val="center"/>
          </w:tcPr>
          <w:p>
            <w:pPr>
              <w:spacing w:line="300" w:lineRule="exact"/>
              <w:jc w:val="left"/>
              <w:rPr>
                <w:rFonts w:ascii="Times New Roman" w:hAnsi="Times New Roman" w:eastAsia="方正书宋_GBK" w:cs="Times New Roman"/>
                <w:sz w:val="28"/>
                <w:szCs w:val="28"/>
              </w:rPr>
            </w:pPr>
            <w:r>
              <w:rPr>
                <w:rFonts w:hint="eastAsia" w:ascii="Times New Roman" w:hAnsi="Times New Roman" w:eastAsia="方正书宋_GBK" w:cs="方正书宋_GBK"/>
                <w:sz w:val="28"/>
                <w:szCs w:val="28"/>
              </w:rPr>
              <w:t>正处级</w:t>
            </w:r>
          </w:p>
        </w:tc>
        <w:tc>
          <w:tcPr>
            <w:tcW w:w="2520" w:type="dxa"/>
            <w:vAlign w:val="center"/>
          </w:tcPr>
          <w:p>
            <w:pPr>
              <w:spacing w:line="300" w:lineRule="exact"/>
              <w:jc w:val="left"/>
              <w:rPr>
                <w:rFonts w:ascii="Times New Roman" w:hAnsi="Times New Roman" w:eastAsia="方正书宋_GBK" w:cs="Times New Roman"/>
                <w:sz w:val="28"/>
                <w:szCs w:val="28"/>
              </w:rPr>
            </w:pPr>
            <w:r>
              <w:rPr>
                <w:rFonts w:hint="eastAsia" w:ascii="Times New Roman" w:hAnsi="Times New Roman" w:eastAsia="方正书宋_GBK" w:cs="方正书宋_GBK"/>
                <w:sz w:val="28"/>
                <w:szCs w:val="28"/>
              </w:rPr>
              <w:t>财政性资金零补助</w:t>
            </w:r>
          </w:p>
        </w:tc>
      </w:tr>
    </w:tbl>
    <w:p>
      <w:pPr>
        <w:rPr>
          <w:rFonts w:cs="Times New Roman"/>
        </w:rPr>
      </w:pPr>
    </w:p>
    <w:p/>
    <w:p>
      <w:pPr>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按照预算管理有关规定，目前我省部门预算的编制实行综合预算</w:t>
      </w:r>
      <w:r>
        <w:rPr>
          <w:rFonts w:hint="eastAsia" w:ascii="Times New Roman" w:hAnsi="Times New Roman" w:eastAsia="方正仿宋_GBK" w:cs="Times New Roman"/>
          <w:sz w:val="32"/>
          <w:szCs w:val="32"/>
        </w:rPr>
        <w:t>管理</w:t>
      </w:r>
      <w:r>
        <w:rPr>
          <w:rFonts w:ascii="Times New Roman" w:hAnsi="Times New Roman" w:eastAsia="方正仿宋_GBK" w:cs="Times New Roman"/>
          <w:sz w:val="32"/>
          <w:szCs w:val="32"/>
        </w:rPr>
        <w:t>，即全部收入和支出都反映</w:t>
      </w:r>
      <w:r>
        <w:rPr>
          <w:rFonts w:hint="eastAsia" w:ascii="Times New Roman" w:hAnsi="Times New Roman" w:eastAsia="方正仿宋_GBK" w:cs="Times New Roman"/>
          <w:sz w:val="32"/>
          <w:szCs w:val="32"/>
        </w:rPr>
        <w:t>在</w:t>
      </w:r>
      <w:r>
        <w:rPr>
          <w:rFonts w:ascii="Times New Roman" w:hAnsi="Times New Roman" w:eastAsia="方正仿宋_GBK" w:cs="Times New Roman"/>
          <w:sz w:val="32"/>
          <w:szCs w:val="32"/>
        </w:rPr>
        <w:t>预算中。河北省福利彩票发行管理中心的收支包含在部门预算中。</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1、收入说明</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反映本部门当年全部收入。201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年预算收入</w:t>
      </w:r>
      <w:r>
        <w:rPr>
          <w:rFonts w:hint="eastAsia" w:ascii="Times New Roman" w:hAnsi="Times New Roman" w:eastAsia="方正仿宋_GBK" w:cs="Times New Roman"/>
          <w:sz w:val="32"/>
          <w:szCs w:val="32"/>
        </w:rPr>
        <w:t>17883</w:t>
      </w:r>
      <w:r>
        <w:rPr>
          <w:rFonts w:ascii="Times New Roman" w:hAnsi="Times New Roman" w:eastAsia="方正仿宋_GBK" w:cs="Times New Roman"/>
          <w:sz w:val="32"/>
          <w:szCs w:val="32"/>
        </w:rPr>
        <w:t>万元，其中：一般公共预算收入</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基金预算</w:t>
      </w:r>
      <w:r>
        <w:rPr>
          <w:rFonts w:ascii="Times New Roman" w:hAnsi="Times New Roman" w:eastAsia="方正仿宋_GBK" w:cs="Times New Roman"/>
          <w:sz w:val="32"/>
          <w:szCs w:val="32"/>
        </w:rPr>
        <w:t>收入</w:t>
      </w:r>
      <w:r>
        <w:rPr>
          <w:rFonts w:hint="eastAsia" w:ascii="Times New Roman" w:hAnsi="Times New Roman" w:eastAsia="方正仿宋_GBK" w:cs="Times New Roman"/>
          <w:sz w:val="32"/>
          <w:szCs w:val="32"/>
        </w:rPr>
        <w:t>17683</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财政专户核拨收入0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，其他来源收入200万元。</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2、支出说明</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收支预算总表支出栏、基本支出表、项目支出表按经济分类和支出功能分类科目编制，反映河北省</w:t>
      </w:r>
      <w:r>
        <w:rPr>
          <w:rFonts w:hint="eastAsia" w:ascii="Times New Roman" w:hAnsi="Times New Roman" w:eastAsia="方正仿宋_GBK" w:cs="Times New Roman"/>
          <w:sz w:val="32"/>
          <w:szCs w:val="32"/>
        </w:rPr>
        <w:t>福利彩票发行管理中心2019</w:t>
      </w:r>
      <w:r>
        <w:rPr>
          <w:rFonts w:ascii="Times New Roman" w:hAnsi="Times New Roman" w:eastAsia="方正仿宋_GBK" w:cs="Times New Roman"/>
          <w:sz w:val="32"/>
          <w:szCs w:val="32"/>
        </w:rPr>
        <w:t>年度部门预算中支出预算的总体情况。201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年支出预算</w:t>
      </w:r>
      <w:r>
        <w:rPr>
          <w:rFonts w:hint="eastAsia" w:ascii="Times New Roman" w:hAnsi="Times New Roman" w:eastAsia="方正仿宋_GBK" w:cs="Times New Roman"/>
          <w:sz w:val="32"/>
          <w:szCs w:val="32"/>
        </w:rPr>
        <w:t>17883</w:t>
      </w:r>
      <w:r>
        <w:rPr>
          <w:rFonts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rPr>
        <w:t>1163.05</w:t>
      </w:r>
      <w:r>
        <w:rPr>
          <w:rFonts w:ascii="Times New Roman" w:hAnsi="Times New Roman" w:eastAsia="方正仿宋_GBK" w:cs="Times New Roman"/>
          <w:sz w:val="32"/>
          <w:szCs w:val="32"/>
        </w:rPr>
        <w:t>万元，包括人员经费</w:t>
      </w:r>
      <w:r>
        <w:rPr>
          <w:rFonts w:hint="eastAsia" w:ascii="Times New Roman" w:hAnsi="Times New Roman" w:eastAsia="方正仿宋_GBK" w:cs="Times New Roman"/>
          <w:sz w:val="32"/>
          <w:szCs w:val="32"/>
        </w:rPr>
        <w:t>924.05万元</w:t>
      </w:r>
      <w:r>
        <w:rPr>
          <w:rFonts w:ascii="Times New Roman" w:hAnsi="Times New Roman" w:eastAsia="方正仿宋_GBK" w:cs="Times New Roman"/>
          <w:sz w:val="32"/>
          <w:szCs w:val="32"/>
        </w:rPr>
        <w:t>和日常公用经费</w:t>
      </w:r>
      <w:r>
        <w:rPr>
          <w:rFonts w:hint="eastAsia" w:ascii="Times New Roman" w:hAnsi="Times New Roman" w:eastAsia="方正仿宋_GBK" w:cs="Times New Roman"/>
          <w:sz w:val="32"/>
          <w:szCs w:val="32"/>
        </w:rPr>
        <w:t>239万元</w:t>
      </w:r>
      <w:r>
        <w:rPr>
          <w:rFonts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rPr>
        <w:t>16519.95</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主要用于福利彩票促销、市场宣传推广、彩票销售渠道建设、销售系统维保、即开票技术服务、专线通讯、投注机设备维保、福利彩票开奖</w:t>
      </w:r>
      <w:r>
        <w:rPr>
          <w:rFonts w:ascii="Times New Roman" w:hAnsi="Times New Roman" w:eastAsia="方正仿宋_GBK" w:cs="Times New Roman"/>
          <w:sz w:val="32"/>
          <w:szCs w:val="32"/>
        </w:rPr>
        <w:t>等</w:t>
      </w:r>
      <w:r>
        <w:rPr>
          <w:rFonts w:hint="eastAsia" w:ascii="Times New Roman" w:hAnsi="Times New Roman" w:eastAsia="方正仿宋_GBK" w:cs="Times New Roman"/>
          <w:sz w:val="32"/>
          <w:szCs w:val="32"/>
        </w:rPr>
        <w:t>；其他支出200万元。</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3、比上年增减情况</w:t>
      </w:r>
    </w:p>
    <w:p>
      <w:pPr>
        <w:ind w:firstLine="640"/>
        <w:rPr>
          <w:rFonts w:ascii="仿宋_GB2312" w:hAnsi="黑体" w:eastAsia="仿宋_GB2312" w:cs="Times New Roman"/>
          <w:sz w:val="32"/>
          <w:szCs w:val="32"/>
        </w:rPr>
      </w:pPr>
      <w:r>
        <w:rPr>
          <w:rFonts w:ascii="Times New Roman" w:hAnsi="Times New Roman" w:eastAsia="方正仿宋_GBK" w:cs="Times New Roman"/>
          <w:sz w:val="32"/>
          <w:szCs w:val="32"/>
        </w:rPr>
        <w:t>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年预算收支安排</w:t>
      </w:r>
      <w:r>
        <w:rPr>
          <w:rFonts w:hint="eastAsia" w:ascii="Times New Roman" w:hAnsi="Times New Roman" w:eastAsia="方正仿宋_GBK" w:cs="Times New Roman"/>
          <w:sz w:val="32"/>
          <w:szCs w:val="32"/>
        </w:rPr>
        <w:t>17883</w:t>
      </w:r>
      <w:r>
        <w:rPr>
          <w:rFonts w:ascii="Times New Roman" w:hAnsi="Times New Roman" w:eastAsia="方正仿宋_GBK" w:cs="Times New Roman"/>
          <w:sz w:val="32"/>
          <w:szCs w:val="32"/>
        </w:rPr>
        <w:t>万元，较201</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年预算</w:t>
      </w:r>
      <w:r>
        <w:rPr>
          <w:rFonts w:hint="eastAsia" w:ascii="Times New Roman" w:hAnsi="Times New Roman" w:eastAsia="方正仿宋_GBK" w:cs="Times New Roman"/>
          <w:sz w:val="32"/>
          <w:szCs w:val="32"/>
        </w:rPr>
        <w:t>减少2072</w:t>
      </w:r>
      <w:r>
        <w:rPr>
          <w:rFonts w:ascii="Times New Roman" w:hAnsi="Times New Roman" w:eastAsia="方正仿宋_GBK" w:cs="Times New Roman"/>
          <w:sz w:val="32"/>
          <w:szCs w:val="32"/>
        </w:rPr>
        <w:t>万元，其中：基本支出增加82.37万元，主要为增加人员经费支出；项目支出</w:t>
      </w:r>
      <w:r>
        <w:rPr>
          <w:rFonts w:hint="eastAsia" w:ascii="Times New Roman" w:hAnsi="Times New Roman" w:eastAsia="方正仿宋_GBK" w:cs="Times New Roman"/>
          <w:sz w:val="32"/>
          <w:szCs w:val="32"/>
        </w:rPr>
        <w:t>减少2154.37</w:t>
      </w:r>
      <w:r>
        <w:rPr>
          <w:rFonts w:ascii="Times New Roman" w:hAnsi="Times New Roman" w:eastAsia="方正仿宋_GBK" w:cs="Times New Roman"/>
          <w:sz w:val="32"/>
          <w:szCs w:val="32"/>
        </w:rPr>
        <w:t>万元，</w:t>
      </w:r>
      <w:r>
        <w:rPr>
          <w:rFonts w:hint="eastAsia" w:ascii="Times New Roman" w:hAnsi="Times New Roman" w:eastAsia="方正仿宋_GBK" w:cs="方正仿宋_GBK"/>
          <w:sz w:val="32"/>
          <w:szCs w:val="32"/>
        </w:rPr>
        <w:t>主要为购置快开游戏开奖辅助设备、技术服务项目、采购销售投注机专用热敏纸</w:t>
      </w:r>
      <w:r>
        <w:rPr>
          <w:rFonts w:ascii="Times New Roman" w:hAnsi="Times New Roman" w:eastAsia="方正仿宋_GBK" w:cs="Times New Roman"/>
          <w:sz w:val="32"/>
          <w:szCs w:val="32"/>
        </w:rPr>
        <w:t>项目支出减少。</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三、机关运行经费安排情况</w:t>
      </w:r>
    </w:p>
    <w:p>
      <w:pPr>
        <w:ind w:firstLine="56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2019年，</w:t>
      </w:r>
      <w:r>
        <w:rPr>
          <w:rFonts w:hint="eastAsia" w:ascii="Times New Roman" w:hAnsi="Times New Roman" w:eastAsia="方正仿宋_GBK" w:cs="方正仿宋_GBK"/>
          <w:sz w:val="32"/>
          <w:szCs w:val="32"/>
        </w:rPr>
        <w:t>我部门机关运行经费共计安排</w:t>
      </w:r>
      <w:r>
        <w:rPr>
          <w:rFonts w:ascii="Times New Roman" w:hAnsi="Times New Roman" w:eastAsia="方正仿宋_GBK" w:cs="Times New Roman"/>
          <w:sz w:val="32"/>
          <w:szCs w:val="32"/>
        </w:rPr>
        <w:t>239</w:t>
      </w:r>
      <w:r>
        <w:rPr>
          <w:rFonts w:hint="eastAsia" w:ascii="Times New Roman" w:hAnsi="Times New Roman" w:eastAsia="方正仿宋_GBK" w:cs="方正仿宋_GBK"/>
          <w:sz w:val="32"/>
          <w:szCs w:val="32"/>
        </w:rPr>
        <w:t>万元，主要用于办公费、印刷费、邮电费、差旅费、日常维修费、办公用房水电费、办公用房取暖费、办公用房物业管理费等日常运行支出。</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w:t>
      </w:r>
      <w:r>
        <w:rPr>
          <w:rFonts w:hint="eastAsia" w:ascii="Times New Roman" w:hAnsi="Times New Roman" w:eastAsia="方正仿宋_GBK" w:cs="方正仿宋_GBK"/>
          <w:sz w:val="32"/>
          <w:szCs w:val="32"/>
        </w:rPr>
        <w:t>我部门财政拨款</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三公</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经费预算安排</w:t>
      </w:r>
      <w:r>
        <w:rPr>
          <w:rFonts w:ascii="Times New Roman" w:hAnsi="Times New Roman" w:eastAsia="方正仿宋_GBK" w:cs="Times New Roman"/>
          <w:sz w:val="32"/>
          <w:szCs w:val="32"/>
        </w:rPr>
        <w:t>50.7</w:t>
      </w:r>
      <w:r>
        <w:rPr>
          <w:rFonts w:hint="eastAsia" w:ascii="Times New Roman" w:hAnsi="Times New Roman" w:eastAsia="方正仿宋_GBK" w:cs="方正仿宋_GBK"/>
          <w:sz w:val="32"/>
          <w:szCs w:val="32"/>
        </w:rPr>
        <w:t>万元，其中因公出国（境）费</w:t>
      </w:r>
      <w:r>
        <w:rPr>
          <w:rFonts w:ascii="Times New Roman" w:hAnsi="Times New Roman" w:eastAsia="方正仿宋_GBK" w:cs="Times New Roman"/>
          <w:sz w:val="32"/>
          <w:szCs w:val="32"/>
        </w:rPr>
        <w:t>0</w:t>
      </w:r>
      <w:r>
        <w:rPr>
          <w:rFonts w:hint="eastAsia" w:ascii="Times New Roman" w:hAnsi="Times New Roman" w:eastAsia="方正仿宋_GBK" w:cs="方正仿宋_GBK"/>
          <w:sz w:val="32"/>
          <w:szCs w:val="32"/>
        </w:rPr>
        <w:t>万元；公务用车购置及运维费</w:t>
      </w:r>
      <w:r>
        <w:rPr>
          <w:rFonts w:ascii="Times New Roman" w:hAnsi="Times New Roman" w:eastAsia="方正仿宋_GBK" w:cs="Times New Roman"/>
          <w:sz w:val="32"/>
          <w:szCs w:val="32"/>
        </w:rPr>
        <w:t>45.8</w:t>
      </w:r>
      <w:r>
        <w:rPr>
          <w:rFonts w:hint="eastAsia" w:ascii="Times New Roman" w:hAnsi="Times New Roman" w:eastAsia="方正仿宋_GBK" w:cs="方正仿宋_GBK"/>
          <w:sz w:val="32"/>
          <w:szCs w:val="32"/>
        </w:rPr>
        <w:t>万元（其中：公务用车购置费为</w:t>
      </w:r>
      <w:r>
        <w:rPr>
          <w:rFonts w:ascii="Times New Roman" w:hAnsi="Times New Roman" w:eastAsia="方正仿宋_GBK" w:cs="Times New Roman"/>
          <w:sz w:val="32"/>
          <w:szCs w:val="32"/>
        </w:rPr>
        <w:t>0</w:t>
      </w:r>
      <w:r>
        <w:rPr>
          <w:rFonts w:hint="eastAsia" w:ascii="Times New Roman" w:hAnsi="Times New Roman" w:eastAsia="方正仿宋_GBK" w:cs="方正仿宋_GBK"/>
          <w:sz w:val="32"/>
          <w:szCs w:val="32"/>
        </w:rPr>
        <w:t>万元，公务用车运维费</w:t>
      </w:r>
      <w:r>
        <w:rPr>
          <w:rFonts w:ascii="Times New Roman" w:hAnsi="Times New Roman" w:eastAsia="方正仿宋_GBK" w:cs="Times New Roman"/>
          <w:sz w:val="32"/>
          <w:szCs w:val="32"/>
        </w:rPr>
        <w:t>45.8</w:t>
      </w:r>
      <w:r>
        <w:rPr>
          <w:rFonts w:hint="eastAsia" w:ascii="Times New Roman" w:hAnsi="Times New Roman" w:eastAsia="方正仿宋_GBK" w:cs="方正仿宋_GBK"/>
          <w:sz w:val="32"/>
          <w:szCs w:val="32"/>
        </w:rPr>
        <w:t>万元</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；公务接待费</w:t>
      </w:r>
      <w:r>
        <w:rPr>
          <w:rFonts w:ascii="Times New Roman" w:hAnsi="Times New Roman" w:eastAsia="方正仿宋_GBK" w:cs="Times New Roman"/>
          <w:sz w:val="32"/>
          <w:szCs w:val="32"/>
        </w:rPr>
        <w:t>4.9</w:t>
      </w:r>
      <w:r>
        <w:rPr>
          <w:rFonts w:hint="eastAsia" w:ascii="Times New Roman" w:hAnsi="Times New Roman" w:eastAsia="方正仿宋_GBK" w:cs="方正仿宋_GBK"/>
          <w:sz w:val="32"/>
          <w:szCs w:val="32"/>
        </w:rPr>
        <w:t>万元。</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三公</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经费预算</w:t>
      </w:r>
      <w:r>
        <w:rPr>
          <w:rFonts w:ascii="Times New Roman" w:hAnsi="Times New Roman" w:eastAsia="方正仿宋_GBK" w:cs="Times New Roman"/>
          <w:sz w:val="32"/>
          <w:szCs w:val="32"/>
        </w:rPr>
        <w:t>与201</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年</w:t>
      </w:r>
      <w:r>
        <w:rPr>
          <w:rFonts w:hint="eastAsia" w:ascii="Times New Roman" w:hAnsi="Times New Roman" w:eastAsia="方正仿宋_GBK" w:cs="方正仿宋_GBK"/>
          <w:sz w:val="32"/>
          <w:szCs w:val="32"/>
        </w:rPr>
        <w:t>“三公”经费预算</w:t>
      </w:r>
      <w:r>
        <w:rPr>
          <w:rFonts w:hint="eastAsia" w:ascii="Times New Roman" w:hAnsi="Times New Roman" w:eastAsia="方正仿宋_GBK" w:cs="Times New Roman"/>
          <w:sz w:val="32"/>
          <w:szCs w:val="32"/>
        </w:rPr>
        <w:t>相比减少15万元</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减少的主要原因是2018年度实施公务用车改革，</w:t>
      </w:r>
      <w:r>
        <w:rPr>
          <w:rFonts w:hint="eastAsia" w:ascii="Times New Roman" w:hAnsi="Times New Roman" w:eastAsia="方正仿宋_GBK" w:cs="方正仿宋_GBK"/>
          <w:sz w:val="32"/>
          <w:szCs w:val="32"/>
        </w:rPr>
        <w:t>公务用车运维费</w:t>
      </w:r>
      <w:r>
        <w:rPr>
          <w:rFonts w:ascii="Times New Roman" w:hAnsi="Times New Roman" w:eastAsia="方正仿宋_GBK" w:cs="Times New Roman"/>
          <w:sz w:val="32"/>
          <w:szCs w:val="32"/>
        </w:rPr>
        <w:t>减少15</w:t>
      </w:r>
      <w:r>
        <w:rPr>
          <w:rFonts w:hint="eastAsia" w:ascii="Times New Roman" w:hAnsi="Times New Roman" w:eastAsia="方正仿宋_GBK" w:cs="方正仿宋_GBK"/>
          <w:sz w:val="32"/>
          <w:szCs w:val="32"/>
        </w:rPr>
        <w:t>万元</w:t>
      </w:r>
      <w:r>
        <w:rPr>
          <w:rFonts w:ascii="Times New Roman" w:hAnsi="Times New Roman" w:eastAsia="方正仿宋_GBK" w:cs="Times New Roman"/>
          <w:sz w:val="32"/>
          <w:szCs w:val="32"/>
        </w:rPr>
        <w:t>。</w:t>
      </w:r>
    </w:p>
    <w:p>
      <w:pPr>
        <w:ind w:firstLine="640"/>
        <w:rPr>
          <w:rFonts w:ascii="黑体" w:hAnsi="黑体" w:eastAsia="黑体" w:cs="Times New Roman"/>
          <w:sz w:val="32"/>
          <w:szCs w:val="32"/>
        </w:rPr>
      </w:pPr>
      <w:r>
        <w:rPr>
          <w:rFonts w:hint="eastAsia" w:ascii="黑体" w:hAnsi="黑体" w:eastAsia="黑体" w:cs="Times New Roman"/>
          <w:sz w:val="32"/>
          <w:szCs w:val="32"/>
        </w:rPr>
        <w:t>五、绩效预算信息</w:t>
      </w:r>
    </w:p>
    <w:p>
      <w:pPr>
        <w:ind w:firstLine="643" w:firstLineChars="200"/>
        <w:jc w:val="left"/>
        <w:rPr>
          <w:rFonts w:ascii="Times New Roman" w:hAnsi="Times New Roman" w:eastAsia="方正仿宋_GBK" w:cs="Times New Roman"/>
          <w:b/>
          <w:sz w:val="32"/>
          <w:szCs w:val="32"/>
        </w:rPr>
      </w:pPr>
      <w:bookmarkStart w:id="0" w:name="_Toc471398463"/>
      <w:r>
        <w:rPr>
          <w:rFonts w:ascii="Times New Roman" w:hAnsi="Times New Roman" w:eastAsia="方正仿宋_GBK" w:cs="Times New Roman"/>
          <w:b/>
          <w:sz w:val="32"/>
          <w:szCs w:val="32"/>
        </w:rPr>
        <w:t>总体绩效目标：</w:t>
      </w:r>
    </w:p>
    <w:p>
      <w:pPr>
        <w:spacing w:line="500" w:lineRule="exact"/>
        <w:ind w:firstLine="560"/>
        <w:rPr>
          <w:rFonts w:ascii="Times New Roman" w:hAnsi="Times New Roman" w:eastAsia="方正仿宋_GBK" w:cs="方正仿宋_GBK"/>
          <w:sz w:val="32"/>
          <w:szCs w:val="32"/>
        </w:rPr>
      </w:pPr>
      <w:r>
        <w:rPr>
          <w:rFonts w:ascii="Times New Roman" w:hAnsi="Times New Roman" w:eastAsia="方正仿宋_GBK" w:cs="方正仿宋_GBK"/>
          <w:sz w:val="32"/>
          <w:szCs w:val="32"/>
        </w:rPr>
        <w:t>201</w:t>
      </w:r>
      <w:r>
        <w:rPr>
          <w:rFonts w:hint="eastAsia" w:ascii="Times New Roman" w:hAnsi="Times New Roman" w:eastAsia="方正仿宋_GBK" w:cs="方正仿宋_GBK"/>
          <w:sz w:val="32"/>
          <w:szCs w:val="32"/>
        </w:rPr>
        <w:t>9</w:t>
      </w:r>
      <w:r>
        <w:rPr>
          <w:rFonts w:ascii="Times New Roman" w:hAnsi="Times New Roman" w:eastAsia="方正仿宋_GBK" w:cs="方正仿宋_GBK"/>
          <w:sz w:val="32"/>
          <w:szCs w:val="32"/>
        </w:rPr>
        <w:t>年，在省民政厅、省财政厅的正确领导和大力支持下，坚持福彩“扶老、助残、救孤、济困”的发行宗旨，全面加强党风廉政建设，严格执行国家财经政策和福彩发行销售规定，确保全省福彩发行销售安全运行、健康发展，全年销售总量力争实现60亿元，为国家筹集更多的公益资金。</w:t>
      </w:r>
    </w:p>
    <w:p>
      <w:pPr>
        <w:ind w:firstLine="643" w:firstLineChars="200"/>
        <w:jc w:val="lef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职责分类绩效目标：</w:t>
      </w:r>
    </w:p>
    <w:p>
      <w:pPr>
        <w:spacing w:line="500" w:lineRule="exact"/>
        <w:ind w:firstLine="560"/>
        <w:rPr>
          <w:rFonts w:ascii="Times New Roman" w:hAnsi="Times New Roman" w:eastAsia="方正仿宋_GBK" w:cs="方正仿宋_GBK"/>
          <w:sz w:val="32"/>
          <w:szCs w:val="32"/>
        </w:rPr>
      </w:pPr>
      <w:r>
        <w:rPr>
          <w:rFonts w:ascii="Times New Roman" w:hAnsi="Times New Roman" w:eastAsia="方正仿宋_GBK" w:cs="方正仿宋_GBK"/>
          <w:sz w:val="32"/>
          <w:szCs w:val="32"/>
        </w:rPr>
        <w:t>（一）彩票销售管理</w:t>
      </w:r>
    </w:p>
    <w:p>
      <w:pPr>
        <w:spacing w:line="500" w:lineRule="exact"/>
        <w:ind w:firstLine="560"/>
        <w:rPr>
          <w:rFonts w:ascii="Times New Roman" w:hAnsi="Times New Roman" w:eastAsia="方正仿宋_GBK" w:cs="方正仿宋_GBK"/>
          <w:sz w:val="32"/>
          <w:szCs w:val="32"/>
        </w:rPr>
      </w:pPr>
      <w:r>
        <w:rPr>
          <w:rFonts w:ascii="Times New Roman" w:hAnsi="Times New Roman" w:eastAsia="方正仿宋_GBK" w:cs="方正仿宋_GBK"/>
          <w:sz w:val="32"/>
          <w:szCs w:val="32"/>
        </w:rPr>
        <w:t>1、即开票力争开通一条销售新渠道；全省计划新增社会网点200个；</w:t>
      </w:r>
    </w:p>
    <w:p>
      <w:pPr>
        <w:spacing w:line="500" w:lineRule="exact"/>
        <w:ind w:firstLine="560"/>
        <w:rPr>
          <w:rFonts w:ascii="Times New Roman" w:hAnsi="Times New Roman" w:eastAsia="方正仿宋_GBK" w:cs="方正仿宋_GBK"/>
          <w:sz w:val="32"/>
          <w:szCs w:val="32"/>
        </w:rPr>
      </w:pPr>
      <w:r>
        <w:rPr>
          <w:rFonts w:ascii="Times New Roman" w:hAnsi="Times New Roman" w:eastAsia="方正仿宋_GBK" w:cs="方正仿宋_GBK"/>
          <w:sz w:val="32"/>
          <w:szCs w:val="32"/>
        </w:rPr>
        <w:t>2、电脑票全省计划新增站点450个，计划每个地市建立标准化投注站20个；</w:t>
      </w:r>
    </w:p>
    <w:p>
      <w:pPr>
        <w:spacing w:line="500" w:lineRule="exact"/>
        <w:ind w:firstLine="560"/>
        <w:rPr>
          <w:rFonts w:ascii="Times New Roman" w:hAnsi="Times New Roman" w:eastAsia="方正仿宋_GBK" w:cs="方正仿宋_GBK"/>
          <w:sz w:val="32"/>
          <w:szCs w:val="32"/>
        </w:rPr>
      </w:pPr>
      <w:r>
        <w:rPr>
          <w:rFonts w:ascii="Times New Roman" w:hAnsi="Times New Roman" w:eastAsia="方正仿宋_GBK" w:cs="方正仿宋_GBK"/>
          <w:sz w:val="32"/>
          <w:szCs w:val="32"/>
        </w:rPr>
        <w:t>3、视频票重点扶持10个形象建设优秀、销售业绩突出、管理规范的销售厅，计划新增销售厅30个。</w:t>
      </w:r>
    </w:p>
    <w:p>
      <w:pPr>
        <w:spacing w:line="500" w:lineRule="exact"/>
        <w:ind w:firstLine="560"/>
        <w:rPr>
          <w:rFonts w:ascii="Times New Roman" w:hAnsi="Times New Roman" w:eastAsia="方正仿宋_GBK" w:cs="方正仿宋_GBK"/>
          <w:sz w:val="32"/>
          <w:szCs w:val="32"/>
        </w:rPr>
      </w:pPr>
      <w:r>
        <w:rPr>
          <w:rFonts w:ascii="Times New Roman" w:hAnsi="Times New Roman" w:eastAsia="方正仿宋_GBK" w:cs="方正仿宋_GBK"/>
          <w:sz w:val="32"/>
          <w:szCs w:val="32"/>
        </w:rPr>
        <w:t>（二）综合事务管理</w:t>
      </w:r>
    </w:p>
    <w:p>
      <w:pPr>
        <w:spacing w:line="500" w:lineRule="exact"/>
        <w:ind w:firstLine="560"/>
        <w:rPr>
          <w:rFonts w:ascii="Times New Roman" w:hAnsi="Times New Roman" w:eastAsia="方正仿宋_GBK" w:cs="方正仿宋_GBK"/>
          <w:sz w:val="32"/>
          <w:szCs w:val="32"/>
        </w:rPr>
      </w:pPr>
      <w:r>
        <w:rPr>
          <w:rFonts w:ascii="Times New Roman" w:hAnsi="Times New Roman" w:eastAsia="方正仿宋_GBK" w:cs="方正仿宋_GBK"/>
          <w:sz w:val="32"/>
          <w:szCs w:val="32"/>
        </w:rPr>
        <w:t>1、坚持专款专用原则，按规定归集、结算、解缴、划拨彩票资金，保证彩票发行销售正常进行；科学合理编制年度预算，依法组织收入，努力节约支出；加强对经济活动的财务监控，有效防范财务风险；</w:t>
      </w:r>
    </w:p>
    <w:p>
      <w:pPr>
        <w:spacing w:line="500" w:lineRule="exact"/>
        <w:ind w:firstLine="560"/>
        <w:rPr>
          <w:rFonts w:ascii="Times New Roman" w:hAnsi="Times New Roman" w:eastAsia="方正仿宋_GBK" w:cs="方正仿宋_GBK"/>
          <w:sz w:val="32"/>
          <w:szCs w:val="32"/>
        </w:rPr>
      </w:pPr>
      <w:r>
        <w:rPr>
          <w:rFonts w:ascii="Times New Roman" w:hAnsi="Times New Roman" w:eastAsia="方正仿宋_GBK" w:cs="方正仿宋_GBK"/>
          <w:sz w:val="32"/>
          <w:szCs w:val="32"/>
        </w:rPr>
        <w:t>2、做好业务及办公用房维护、设备更换等管理，坚持按政府采购规定办事；</w:t>
      </w:r>
    </w:p>
    <w:p>
      <w:pPr>
        <w:spacing w:line="500" w:lineRule="exact"/>
        <w:ind w:firstLine="560"/>
        <w:rPr>
          <w:rFonts w:ascii="Times New Roman" w:hAnsi="Times New Roman" w:eastAsia="方正仿宋_GBK" w:cs="方正仿宋_GBK"/>
          <w:sz w:val="32"/>
          <w:szCs w:val="32"/>
        </w:rPr>
      </w:pPr>
      <w:r>
        <w:rPr>
          <w:rFonts w:ascii="Times New Roman" w:hAnsi="Times New Roman" w:eastAsia="方正仿宋_GBK" w:cs="方正仿宋_GBK"/>
          <w:sz w:val="32"/>
          <w:szCs w:val="32"/>
        </w:rPr>
        <w:t>3.做好机关党建、人事管理等工作，保证机关工作正常、高效运行。</w:t>
      </w:r>
    </w:p>
    <w:p>
      <w:pPr>
        <w:spacing w:line="500" w:lineRule="exact"/>
        <w:ind w:firstLine="560"/>
        <w:rPr>
          <w:rFonts w:ascii="Times New Roman" w:hAnsi="Times New Roman" w:eastAsia="方正仿宋_GBK" w:cs="方正仿宋_GBK"/>
          <w:sz w:val="32"/>
          <w:szCs w:val="32"/>
        </w:rPr>
      </w:pPr>
      <w:r>
        <w:rPr>
          <w:rFonts w:ascii="Times New Roman" w:hAnsi="Times New Roman" w:eastAsia="方正仿宋_GBK" w:cs="方正仿宋_GBK"/>
          <w:sz w:val="32"/>
          <w:szCs w:val="32"/>
        </w:rPr>
        <w:t>（三）公益品牌形象建设</w:t>
      </w:r>
    </w:p>
    <w:p>
      <w:pPr>
        <w:spacing w:line="500" w:lineRule="exact"/>
        <w:ind w:firstLine="560"/>
        <w:rPr>
          <w:rFonts w:ascii="Times New Roman" w:hAnsi="Times New Roman" w:eastAsia="方正仿宋_GBK" w:cs="方正仿宋_GBK"/>
          <w:sz w:val="32"/>
          <w:szCs w:val="32"/>
        </w:rPr>
      </w:pPr>
      <w:r>
        <w:rPr>
          <w:rFonts w:ascii="Times New Roman" w:hAnsi="Times New Roman" w:eastAsia="方正仿宋_GBK" w:cs="方正仿宋_GBK"/>
          <w:sz w:val="32"/>
          <w:szCs w:val="32"/>
        </w:rPr>
        <w:t>整合市场营销工作和品牌形象宣传工作，实现二者有机互动；做大、做深老品牌活动，探索、谋划新品牌活动；逐步建立层级、区域、票种、游戏、时间等各维度统筹安排机制，形成塑造福彩品牌形象的强大合力。</w:t>
      </w:r>
    </w:p>
    <w:p>
      <w:pPr>
        <w:ind w:firstLine="643" w:firstLineChars="200"/>
        <w:jc w:val="lef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部门职责及工作活动绩效目标指标：</w:t>
      </w:r>
    </w:p>
    <w:p>
      <w:pPr>
        <w:ind w:firstLine="420" w:firstLineChars="200"/>
      </w:pPr>
    </w:p>
    <w:p>
      <w:pPr>
        <w:jc w:val="center"/>
        <w:outlineLvl w:val="0"/>
        <w:rPr>
          <w:rFonts w:ascii="方正小标宋_GBK" w:eastAsia="方正小标宋_GBK"/>
          <w:sz w:val="32"/>
        </w:rPr>
      </w:pPr>
      <w:bookmarkStart w:id="1" w:name="_Toc533544427"/>
      <w:r>
        <w:rPr>
          <w:rFonts w:hint="eastAsia" w:ascii="方正小标宋_GBK" w:eastAsia="方正小标宋_GBK"/>
          <w:sz w:val="32"/>
        </w:rPr>
        <w:t>部门职责-工作活动绩效目标</w:t>
      </w:r>
      <w:bookmarkEnd w:id="1"/>
    </w:p>
    <w:tbl>
      <w:tblPr>
        <w:tblStyle w:val="8"/>
        <w:tblW w:w="139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hint="eastAsia" w:ascii="方正小标宋_GBK" w:eastAsia="方正小标宋_GBK"/>
                <w:sz w:val="24"/>
              </w:rPr>
              <w:t>718河北省福利彩票发行管理中心</w:t>
            </w:r>
          </w:p>
        </w:tc>
        <w:tc>
          <w:tcPr>
            <w:tcW w:w="2948" w:type="dxa"/>
            <w:gridSpan w:val="4"/>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pPr>
              <w:spacing w:line="300" w:lineRule="exact"/>
              <w:jc w:val="left"/>
              <w:outlineLvl w:val="0"/>
            </w:pPr>
          </w:p>
        </w:tc>
        <w:tc>
          <w:tcPr>
            <w:tcW w:w="1276"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1417" w:type="dxa"/>
            <w:vMerge w:val="continue"/>
            <w:shd w:val="clear" w:color="auto" w:fill="auto"/>
            <w:vAlign w:val="center"/>
          </w:tcPr>
          <w:p>
            <w:pPr>
              <w:spacing w:line="300" w:lineRule="exact"/>
              <w:jc w:val="left"/>
              <w:outlineLvl w:val="0"/>
            </w:pP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一、彩票销售管理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14308.95</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制定全省福利彩票销售管理办法和工作规范；向福利彩票发行机构提出增加、停止彩票品种、变更彩票品种审批事项的建议；负责全省福利彩票销售系统的建设、运营和维护；负责全省福利彩票的销售系统数据管理、资金归集结算、销售渠道和场所规划、物流管理、开奖兑奖；负责组织实施全省福利彩票的形象建设、彩票代销、营销宣传、业务培训、人才队伍建设等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1、依据国务院《彩票管理条例》及相关政策规定，建立完善科学规范的彩票销售渠道，充分满足彩民及彩票代销者的实际需求；研究拓宽多样式的销售渠道，更好服务各类人群便捷购彩，为彩票顺利销售打下良好销售渠道。2、依照国家和地方相关政策规定，建立科学、安全、稳定的彩票销售系统，准确及时完成销售数据传输及统计工作，保证彩票销售销售工作顺利进行。3、推进彩票游戏创新和彩票品种结构优化，加强福利彩票形象建设和市场管理，科学谋划营销宣传和市场推广模式，增强抵御市场风险的能力，努力扩大彩票销售规模。4、严格按照彩票游戏规则和相关规定，及时准确归集、分配、解缴各类彩票资金。</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1、彩票销售渠道建设、管理及维护</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2569.55</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依据国务院《彩票管理条例》及相关政策规定，开展彩票销售渠道建设、管理及维护工作，确保彩票销售渠道科学规范、销售畅通。</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国务院《彩票管理条例》及相关政策规定，建立完善科学规范的彩票销售渠道，充分满足彩民及彩票代销者的实际需求，并积极拓宽销售渠道，更好服务各类人群便捷购彩，为彩票顺利销售打下良好渠道基础。</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站点形象建设达标率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≥60%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彩票销售渠道建设覆盖率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≥60%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彩票销售电脑终端机省内人均拥有量</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≥0.9</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≥0.75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≥0.5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2、彩票销售技术系统建设、运营及维护</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1239.50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依据国务院《彩票管理条例》及相关政策规定，开展彩票销售建设、运营及维护技术系统工作，确保彩票技术系统安全运行。</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依照国家相关政策规定，建立完善科学、安全、稳定的彩票销售系统，准确及时完成销售数据传输及统计工作，保证彩票销售工作安全运行。</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销售事故发生数量</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≤2</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销售系统维护次数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≥20次</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≥12</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使用4年以内的终端机比例</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3、彩票市场开发、管理及推广</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10499.90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依照国家和地方相关政策规定，组织实施河北省福利彩票的形象建设、彩票代销、营销宣传、业务培训、人才队伍建设及彩票研发、尾票核销等市场管理工作。</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推进彩票游戏创新和彩票品种结构优化，加强福利彩票形象建设和市场管理，科学谋划营销宣传和市场推广模式，增强抵御市场风险的能力，努力扩大彩票销售规模。</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原创稿件刊载量</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≥60%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≥50%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≥40%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市场营销满意度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≥60%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彩民满意度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4、彩票资金归集、分配及解缴管理</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依照国家和地方相关政策规定，做好彩票资金归集、分配和解缴工作。</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严格按照彩票游戏规则和相关规定，及时准确归集、分配、解缴各类彩票资金。</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彩票资金解缴及时性</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按时归集解缴</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超过规定时间5天以内</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超过规定时间10天以内</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超过规定时间15天以上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事故发生数量</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≤2</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资金核算准确率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99%</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98%</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二、综合事务管理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711.00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会议组织管理、信息化建设与维护、机关财务和资产管理、标准化建设、办公及业务用房基建及维修、设备购置、人事管理、机关党建等。</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保障单位工作正常高效运转。会议组织管理、信息化建设与维护、机关财务和资产管理、标准化建设、办公及业务用房基建及维修、设备购置、人事管理、机关党建等。</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1、综合事务管理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711.00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会议组织管理、信息化建设与维护、机关财务和资产管理、标准化建设、办公及业务用房基建及维修、设备购置、人事管理、机关党建等。</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保障机关正常工作高效运转。</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三、福彩公益品牌形象建设</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1500.00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对优秀寒门学子、生活贫困的家庭或个人、因公牺牲的公安英烈等特殊群体予以关爱和资助。</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使用福彩公益金开展系列公益活动，对特定弱势群体予以资助，帮助他们解决或部分解决生活中的实际困难，塑造福彩公益品牌形象，提高销售总量。</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1、福彩爱心公益活动</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1500.00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开展“福彩献真情、爱心助学子”、“福彩非常帮助”和“祭公安英烈、献福彩真情”等公益活动，帮助贫困学生上大学，对特定的弱势群体予以资助，帮助他们解决生活中的实际困难。</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体现党和政府对弱势群体的关怀，进一步提升福利彩票良好的社会形象，提高销量，为国家筹集更多的公益金，为社会发展做出更大的贡献。</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开展公益活动次数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≥3</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资助弱势群体人数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≥1500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≥1200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≥1000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＜1000</w:t>
            </w:r>
          </w:p>
        </w:tc>
      </w:tr>
    </w:tbl>
    <w:p>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bookmarkEnd w:id="0"/>
    <w:p>
      <w:pPr>
        <w:autoSpaceDE w:val="0"/>
        <w:autoSpaceDN w:val="0"/>
        <w:adjustRightInd w:val="0"/>
        <w:ind w:firstLine="480" w:firstLineChars="150"/>
        <w:jc w:val="left"/>
        <w:rPr>
          <w:rFonts w:ascii="黑体" w:hAnsi="黑体" w:eastAsia="黑体" w:cs="Times New Roman"/>
          <w:sz w:val="32"/>
          <w:szCs w:val="32"/>
        </w:rPr>
      </w:pPr>
      <w:r>
        <w:rPr>
          <w:rFonts w:hint="eastAsia" w:ascii="黑体" w:hAnsi="黑体" w:eastAsia="黑体" w:cs="Times New Roman"/>
          <w:sz w:val="32"/>
          <w:szCs w:val="32"/>
        </w:rPr>
        <w:t>六、政府采购预算情况</w:t>
      </w:r>
    </w:p>
    <w:p>
      <w:pPr>
        <w:outlineLvl w:val="0"/>
        <w:rPr>
          <w:rFonts w:ascii="Times New Roman" w:hAnsi="Times New Roman" w:eastAsia="方正仿宋_GBK" w:cs="Times New Roman"/>
          <w:sz w:val="32"/>
          <w:szCs w:val="24"/>
        </w:rPr>
      </w:pPr>
      <w:bookmarkStart w:id="2" w:name="_Toc471398468"/>
      <w:r>
        <w:rPr>
          <w:rFonts w:ascii="Times New Roman" w:hAnsi="Times New Roman" w:eastAsia="方正仿宋_GBK" w:cs="Times New Roman"/>
          <w:sz w:val="32"/>
          <w:szCs w:val="24"/>
        </w:rPr>
        <w:t xml:space="preserve">   201</w:t>
      </w:r>
      <w:r>
        <w:rPr>
          <w:rFonts w:hint="eastAsia" w:ascii="Times New Roman" w:hAnsi="Times New Roman" w:eastAsia="方正仿宋_GBK" w:cs="Times New Roman"/>
          <w:sz w:val="32"/>
          <w:szCs w:val="24"/>
        </w:rPr>
        <w:t>9</w:t>
      </w:r>
      <w:r>
        <w:rPr>
          <w:rFonts w:ascii="Times New Roman" w:hAnsi="Times New Roman" w:eastAsia="方正仿宋_GBK" w:cs="Times New Roman"/>
          <w:sz w:val="32"/>
          <w:szCs w:val="24"/>
        </w:rPr>
        <w:t>年，我部门安排政府采购预算</w:t>
      </w:r>
      <w:r>
        <w:rPr>
          <w:rFonts w:hint="eastAsia" w:ascii="Times New Roman" w:hAnsi="Times New Roman" w:eastAsia="方正仿宋_GBK" w:cs="Times New Roman"/>
          <w:sz w:val="32"/>
          <w:szCs w:val="24"/>
        </w:rPr>
        <w:t>8039.15</w:t>
      </w:r>
      <w:r>
        <w:rPr>
          <w:rFonts w:ascii="Times New Roman" w:hAnsi="Times New Roman" w:eastAsia="方正仿宋_GBK" w:cs="Times New Roman"/>
          <w:sz w:val="32"/>
          <w:szCs w:val="24"/>
        </w:rPr>
        <w:t>万元。具体内容见下表。</w:t>
      </w:r>
    </w:p>
    <w:bookmarkEnd w:id="2"/>
    <w:p>
      <w:pPr>
        <w:jc w:val="center"/>
        <w:outlineLvl w:val="0"/>
        <w:rPr>
          <w:rFonts w:ascii="方正小标宋_GBK" w:eastAsia="方正小标宋_GBK"/>
          <w:sz w:val="32"/>
        </w:rPr>
      </w:pPr>
      <w:bookmarkStart w:id="3" w:name="_Toc533544433"/>
      <w:r>
        <w:rPr>
          <w:rFonts w:hint="eastAsia" w:ascii="方正小标宋_GBK" w:eastAsia="方正小标宋_GBK"/>
          <w:sz w:val="32"/>
        </w:rPr>
        <w:t>部门政府采购预算</w:t>
      </w:r>
      <w:bookmarkEnd w:id="3"/>
    </w:p>
    <w:tbl>
      <w:tblPr>
        <w:tblStyle w:val="8"/>
        <w:tblW w:w="1456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7"/>
        <w:gridCol w:w="1028"/>
        <w:gridCol w:w="903"/>
        <w:gridCol w:w="1495"/>
        <w:gridCol w:w="690"/>
        <w:gridCol w:w="969"/>
        <w:gridCol w:w="901"/>
        <w:gridCol w:w="934"/>
        <w:gridCol w:w="934"/>
        <w:gridCol w:w="805"/>
        <w:gridCol w:w="934"/>
        <w:gridCol w:w="851"/>
        <w:gridCol w:w="895"/>
        <w:gridCol w:w="8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836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hint="eastAsia" w:ascii="方正小标宋_GBK" w:eastAsia="方正小标宋_GBK"/>
                <w:sz w:val="24"/>
              </w:rPr>
              <w:t>718河北省福利彩票发行管理中心</w:t>
            </w:r>
          </w:p>
        </w:tc>
        <w:tc>
          <w:tcPr>
            <w:tcW w:w="6205"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3405" w:type="dxa"/>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903"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495"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690"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  单位</w:t>
            </w:r>
          </w:p>
        </w:tc>
        <w:tc>
          <w:tcPr>
            <w:tcW w:w="969"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205" w:type="dxa"/>
            <w:gridSpan w:val="7"/>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37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028"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903" w:type="dxa"/>
            <w:vMerge w:val="continue"/>
            <w:shd w:val="clear" w:color="auto" w:fill="auto"/>
            <w:vAlign w:val="center"/>
          </w:tcPr>
          <w:p>
            <w:pPr>
              <w:spacing w:line="300" w:lineRule="exact"/>
              <w:jc w:val="left"/>
              <w:outlineLvl w:val="0"/>
            </w:pPr>
          </w:p>
        </w:tc>
        <w:tc>
          <w:tcPr>
            <w:tcW w:w="1495" w:type="dxa"/>
            <w:vMerge w:val="continue"/>
            <w:shd w:val="clear" w:color="auto" w:fill="auto"/>
            <w:vAlign w:val="center"/>
          </w:tcPr>
          <w:p>
            <w:pPr>
              <w:spacing w:line="300" w:lineRule="exact"/>
              <w:jc w:val="left"/>
              <w:outlineLvl w:val="0"/>
            </w:pPr>
          </w:p>
        </w:tc>
        <w:tc>
          <w:tcPr>
            <w:tcW w:w="690" w:type="dxa"/>
            <w:vMerge w:val="continue"/>
            <w:shd w:val="clear" w:color="auto" w:fill="auto"/>
            <w:vAlign w:val="center"/>
          </w:tcPr>
          <w:p>
            <w:pPr>
              <w:spacing w:line="300" w:lineRule="exact"/>
              <w:jc w:val="left"/>
              <w:outlineLvl w:val="0"/>
            </w:pPr>
          </w:p>
        </w:tc>
        <w:tc>
          <w:tcPr>
            <w:tcW w:w="969" w:type="dxa"/>
            <w:vMerge w:val="continue"/>
            <w:shd w:val="clear" w:color="auto" w:fill="auto"/>
            <w:vAlign w:val="center"/>
          </w:tcPr>
          <w:p>
            <w:pPr>
              <w:spacing w:line="300" w:lineRule="exact"/>
              <w:jc w:val="left"/>
              <w:outlineLvl w:val="0"/>
            </w:pPr>
          </w:p>
        </w:tc>
        <w:tc>
          <w:tcPr>
            <w:tcW w:w="901" w:type="dxa"/>
            <w:vMerge w:val="continue"/>
            <w:shd w:val="clear" w:color="auto" w:fill="auto"/>
            <w:vAlign w:val="center"/>
          </w:tcPr>
          <w:p>
            <w:pPr>
              <w:spacing w:line="300" w:lineRule="exact"/>
              <w:jc w:val="left"/>
              <w:outlineLvl w:val="0"/>
            </w:pPr>
          </w:p>
        </w:tc>
        <w:tc>
          <w:tcPr>
            <w:tcW w:w="9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4419" w:type="dxa"/>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852"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377" w:type="dxa"/>
            <w:vMerge w:val="continue"/>
            <w:shd w:val="clear" w:color="auto" w:fill="auto"/>
            <w:vAlign w:val="center"/>
          </w:tcPr>
          <w:p>
            <w:pPr>
              <w:spacing w:line="300" w:lineRule="exact"/>
              <w:jc w:val="left"/>
              <w:outlineLvl w:val="0"/>
            </w:pPr>
          </w:p>
        </w:tc>
        <w:tc>
          <w:tcPr>
            <w:tcW w:w="1028" w:type="dxa"/>
            <w:vMerge w:val="continue"/>
            <w:shd w:val="clear" w:color="auto" w:fill="auto"/>
            <w:vAlign w:val="center"/>
          </w:tcPr>
          <w:p>
            <w:pPr>
              <w:spacing w:line="300" w:lineRule="exact"/>
              <w:jc w:val="left"/>
              <w:outlineLvl w:val="0"/>
            </w:pPr>
          </w:p>
        </w:tc>
        <w:tc>
          <w:tcPr>
            <w:tcW w:w="903" w:type="dxa"/>
            <w:vMerge w:val="continue"/>
            <w:shd w:val="clear" w:color="auto" w:fill="auto"/>
            <w:vAlign w:val="center"/>
          </w:tcPr>
          <w:p>
            <w:pPr>
              <w:spacing w:line="300" w:lineRule="exact"/>
              <w:jc w:val="left"/>
              <w:outlineLvl w:val="0"/>
            </w:pPr>
          </w:p>
        </w:tc>
        <w:tc>
          <w:tcPr>
            <w:tcW w:w="1495" w:type="dxa"/>
            <w:vMerge w:val="continue"/>
            <w:shd w:val="clear" w:color="auto" w:fill="auto"/>
            <w:vAlign w:val="center"/>
          </w:tcPr>
          <w:p>
            <w:pPr>
              <w:spacing w:line="300" w:lineRule="exact"/>
              <w:jc w:val="left"/>
              <w:outlineLvl w:val="0"/>
            </w:pPr>
          </w:p>
        </w:tc>
        <w:tc>
          <w:tcPr>
            <w:tcW w:w="690" w:type="dxa"/>
            <w:vMerge w:val="continue"/>
            <w:shd w:val="clear" w:color="auto" w:fill="auto"/>
            <w:vAlign w:val="center"/>
          </w:tcPr>
          <w:p>
            <w:pPr>
              <w:spacing w:line="300" w:lineRule="exact"/>
              <w:jc w:val="left"/>
              <w:outlineLvl w:val="0"/>
            </w:pPr>
          </w:p>
        </w:tc>
        <w:tc>
          <w:tcPr>
            <w:tcW w:w="969" w:type="dxa"/>
            <w:vMerge w:val="continue"/>
            <w:shd w:val="clear" w:color="auto" w:fill="auto"/>
            <w:vAlign w:val="center"/>
          </w:tcPr>
          <w:p>
            <w:pPr>
              <w:spacing w:line="300" w:lineRule="exact"/>
              <w:jc w:val="left"/>
              <w:outlineLvl w:val="0"/>
            </w:pPr>
          </w:p>
        </w:tc>
        <w:tc>
          <w:tcPr>
            <w:tcW w:w="901" w:type="dxa"/>
            <w:vMerge w:val="continue"/>
            <w:shd w:val="clear" w:color="auto" w:fill="auto"/>
            <w:vAlign w:val="center"/>
          </w:tcPr>
          <w:p>
            <w:pPr>
              <w:spacing w:line="300" w:lineRule="exact"/>
              <w:jc w:val="left"/>
              <w:outlineLvl w:val="0"/>
            </w:pPr>
          </w:p>
        </w:tc>
        <w:tc>
          <w:tcPr>
            <w:tcW w:w="934" w:type="dxa"/>
            <w:vMerge w:val="continue"/>
            <w:shd w:val="clear" w:color="auto" w:fill="auto"/>
            <w:vAlign w:val="center"/>
          </w:tcPr>
          <w:p>
            <w:pPr>
              <w:spacing w:line="300" w:lineRule="exact"/>
              <w:jc w:val="left"/>
              <w:outlineLvl w:val="0"/>
            </w:pPr>
          </w:p>
        </w:tc>
        <w:tc>
          <w:tcPr>
            <w:tcW w:w="9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80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9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85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89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852" w:type="dxa"/>
            <w:vMerge w:val="continue"/>
            <w:shd w:val="clear" w:color="auto" w:fill="auto"/>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1028" w:type="dxa"/>
            <w:shd w:val="clear" w:color="auto" w:fill="auto"/>
            <w:vAlign w:val="center"/>
          </w:tcPr>
          <w:p>
            <w:pPr>
              <w:spacing w:line="300" w:lineRule="exact"/>
              <w:jc w:val="right"/>
              <w:rPr>
                <w:rFonts w:ascii="方正书宋_GBK" w:eastAsia="方正书宋_GBK"/>
                <w:b/>
              </w:rPr>
            </w:pPr>
          </w:p>
        </w:tc>
        <w:tc>
          <w:tcPr>
            <w:tcW w:w="903" w:type="dxa"/>
            <w:shd w:val="clear" w:color="auto" w:fill="auto"/>
            <w:vAlign w:val="center"/>
          </w:tcPr>
          <w:p>
            <w:pPr>
              <w:spacing w:line="300" w:lineRule="exact"/>
              <w:jc w:val="left"/>
              <w:rPr>
                <w:rFonts w:ascii="方正书宋_GBK" w:eastAsia="方正书宋_GBK"/>
                <w:b/>
              </w:rPr>
            </w:pPr>
          </w:p>
        </w:tc>
        <w:tc>
          <w:tcPr>
            <w:tcW w:w="1495" w:type="dxa"/>
            <w:shd w:val="clear" w:color="auto" w:fill="auto"/>
            <w:vAlign w:val="center"/>
          </w:tcPr>
          <w:p>
            <w:pPr>
              <w:spacing w:line="300" w:lineRule="exact"/>
              <w:jc w:val="left"/>
              <w:rPr>
                <w:rFonts w:ascii="方正书宋_GBK" w:eastAsia="方正书宋_GBK"/>
                <w:b/>
              </w:rPr>
            </w:pPr>
          </w:p>
        </w:tc>
        <w:tc>
          <w:tcPr>
            <w:tcW w:w="690" w:type="dxa"/>
            <w:shd w:val="clear" w:color="auto" w:fill="auto"/>
            <w:vAlign w:val="center"/>
          </w:tcPr>
          <w:p>
            <w:pPr>
              <w:spacing w:line="300" w:lineRule="exact"/>
              <w:jc w:val="left"/>
              <w:rPr>
                <w:rFonts w:ascii="方正书宋_GBK" w:eastAsia="方正书宋_GBK"/>
                <w:b/>
              </w:rPr>
            </w:pPr>
          </w:p>
        </w:tc>
        <w:tc>
          <w:tcPr>
            <w:tcW w:w="969" w:type="dxa"/>
            <w:shd w:val="clear" w:color="auto" w:fill="auto"/>
            <w:vAlign w:val="center"/>
          </w:tcPr>
          <w:p>
            <w:pPr>
              <w:spacing w:line="300" w:lineRule="exact"/>
              <w:jc w:val="right"/>
              <w:rPr>
                <w:rFonts w:ascii="方正书宋_GBK" w:eastAsia="方正书宋_GBK"/>
                <w:b/>
              </w:rPr>
            </w:pPr>
          </w:p>
        </w:tc>
        <w:tc>
          <w:tcPr>
            <w:tcW w:w="901" w:type="dxa"/>
            <w:shd w:val="clear" w:color="auto" w:fill="auto"/>
            <w:vAlign w:val="center"/>
          </w:tcPr>
          <w:p>
            <w:pPr>
              <w:spacing w:line="300" w:lineRule="exact"/>
              <w:jc w:val="right"/>
              <w:rPr>
                <w:rFonts w:ascii="方正书宋_GBK" w:eastAsia="方正书宋_GBK"/>
                <w:b/>
              </w:rPr>
            </w:pPr>
          </w:p>
        </w:tc>
        <w:tc>
          <w:tcPr>
            <w:tcW w:w="934" w:type="dxa"/>
            <w:shd w:val="clear" w:color="auto" w:fill="auto"/>
            <w:vAlign w:val="center"/>
          </w:tcPr>
          <w:p>
            <w:pPr>
              <w:spacing w:line="300" w:lineRule="exact"/>
              <w:jc w:val="right"/>
              <w:rPr>
                <w:rFonts w:ascii="方正书宋_GBK" w:eastAsia="方正书宋_GBK"/>
                <w:b/>
              </w:rPr>
            </w:pPr>
            <w:r>
              <w:rPr>
                <w:rFonts w:ascii="方正书宋_GBK" w:eastAsia="方正书宋_GBK"/>
                <w:b/>
              </w:rPr>
              <w:t>8039.15</w:t>
            </w:r>
          </w:p>
        </w:tc>
        <w:tc>
          <w:tcPr>
            <w:tcW w:w="934" w:type="dxa"/>
            <w:shd w:val="clear" w:color="auto" w:fill="auto"/>
            <w:vAlign w:val="center"/>
          </w:tcPr>
          <w:p>
            <w:pPr>
              <w:spacing w:line="300" w:lineRule="exact"/>
              <w:jc w:val="right"/>
              <w:rPr>
                <w:rFonts w:ascii="方正书宋_GBK" w:eastAsia="方正书宋_GBK"/>
                <w:b/>
              </w:rPr>
            </w:pPr>
            <w:r>
              <w:rPr>
                <w:rFonts w:ascii="方正书宋_GBK" w:eastAsia="方正书宋_GBK"/>
                <w:b/>
              </w:rPr>
              <w:t>8039.15</w:t>
            </w:r>
          </w:p>
        </w:tc>
        <w:tc>
          <w:tcPr>
            <w:tcW w:w="805" w:type="dxa"/>
            <w:shd w:val="clear" w:color="auto" w:fill="auto"/>
            <w:vAlign w:val="center"/>
          </w:tcPr>
          <w:p>
            <w:pPr>
              <w:spacing w:line="300" w:lineRule="exact"/>
              <w:jc w:val="right"/>
              <w:rPr>
                <w:rFonts w:ascii="方正书宋_GBK" w:eastAsia="方正书宋_GBK"/>
                <w:b/>
              </w:rPr>
            </w:pPr>
          </w:p>
        </w:tc>
        <w:tc>
          <w:tcPr>
            <w:tcW w:w="934" w:type="dxa"/>
            <w:shd w:val="clear" w:color="auto" w:fill="auto"/>
            <w:vAlign w:val="center"/>
          </w:tcPr>
          <w:p>
            <w:pPr>
              <w:spacing w:line="300" w:lineRule="exact"/>
              <w:jc w:val="right"/>
              <w:rPr>
                <w:rFonts w:ascii="方正书宋_GBK" w:eastAsia="方正书宋_GBK"/>
                <w:b/>
              </w:rPr>
            </w:pPr>
            <w:r>
              <w:rPr>
                <w:rFonts w:ascii="方正书宋_GBK" w:eastAsia="方正书宋_GBK"/>
                <w:b/>
              </w:rPr>
              <w:t>8039.15</w:t>
            </w:r>
          </w:p>
        </w:tc>
        <w:tc>
          <w:tcPr>
            <w:tcW w:w="851" w:type="dxa"/>
            <w:shd w:val="clear" w:color="auto" w:fill="auto"/>
            <w:vAlign w:val="center"/>
          </w:tcPr>
          <w:p>
            <w:pPr>
              <w:spacing w:line="300" w:lineRule="exact"/>
              <w:jc w:val="right"/>
              <w:rPr>
                <w:rFonts w:ascii="方正书宋_GBK" w:eastAsia="方正书宋_GBK"/>
                <w:b/>
              </w:rPr>
            </w:pPr>
          </w:p>
        </w:tc>
        <w:tc>
          <w:tcPr>
            <w:tcW w:w="895" w:type="dxa"/>
            <w:shd w:val="clear" w:color="auto" w:fill="auto"/>
            <w:vAlign w:val="center"/>
          </w:tcPr>
          <w:p>
            <w:pPr>
              <w:spacing w:line="300" w:lineRule="exact"/>
              <w:jc w:val="right"/>
              <w:rPr>
                <w:rFonts w:ascii="方正书宋_GBK" w:eastAsia="方正书宋_GBK"/>
                <w:b/>
              </w:rPr>
            </w:pPr>
          </w:p>
        </w:tc>
        <w:tc>
          <w:tcPr>
            <w:tcW w:w="852"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河北省福利彩票发行管理中心小计</w:t>
            </w:r>
          </w:p>
        </w:tc>
        <w:tc>
          <w:tcPr>
            <w:tcW w:w="1028" w:type="dxa"/>
            <w:shd w:val="clear" w:color="auto" w:fill="auto"/>
            <w:vAlign w:val="center"/>
          </w:tcPr>
          <w:p>
            <w:pPr>
              <w:spacing w:line="300" w:lineRule="exact"/>
              <w:jc w:val="right"/>
              <w:rPr>
                <w:rFonts w:ascii="方正书宋_GBK" w:eastAsia="方正书宋_GBK"/>
                <w:b/>
              </w:rPr>
            </w:pPr>
          </w:p>
        </w:tc>
        <w:tc>
          <w:tcPr>
            <w:tcW w:w="903" w:type="dxa"/>
            <w:shd w:val="clear" w:color="auto" w:fill="auto"/>
            <w:vAlign w:val="center"/>
          </w:tcPr>
          <w:p>
            <w:pPr>
              <w:spacing w:line="300" w:lineRule="exact"/>
              <w:jc w:val="left"/>
              <w:rPr>
                <w:rFonts w:ascii="方正书宋_GBK" w:eastAsia="方正书宋_GBK"/>
                <w:b/>
              </w:rPr>
            </w:pPr>
          </w:p>
        </w:tc>
        <w:tc>
          <w:tcPr>
            <w:tcW w:w="1495" w:type="dxa"/>
            <w:shd w:val="clear" w:color="auto" w:fill="auto"/>
            <w:vAlign w:val="center"/>
          </w:tcPr>
          <w:p>
            <w:pPr>
              <w:spacing w:line="300" w:lineRule="exact"/>
              <w:jc w:val="left"/>
              <w:rPr>
                <w:rFonts w:ascii="方正书宋_GBK" w:eastAsia="方正书宋_GBK"/>
                <w:b/>
              </w:rPr>
            </w:pPr>
          </w:p>
        </w:tc>
        <w:tc>
          <w:tcPr>
            <w:tcW w:w="690" w:type="dxa"/>
            <w:shd w:val="clear" w:color="auto" w:fill="auto"/>
            <w:vAlign w:val="center"/>
          </w:tcPr>
          <w:p>
            <w:pPr>
              <w:spacing w:line="300" w:lineRule="exact"/>
              <w:jc w:val="left"/>
              <w:rPr>
                <w:rFonts w:ascii="方正书宋_GBK" w:eastAsia="方正书宋_GBK"/>
                <w:b/>
              </w:rPr>
            </w:pPr>
          </w:p>
        </w:tc>
        <w:tc>
          <w:tcPr>
            <w:tcW w:w="969" w:type="dxa"/>
            <w:shd w:val="clear" w:color="auto" w:fill="auto"/>
            <w:vAlign w:val="center"/>
          </w:tcPr>
          <w:p>
            <w:pPr>
              <w:spacing w:line="300" w:lineRule="exact"/>
              <w:jc w:val="right"/>
              <w:rPr>
                <w:rFonts w:ascii="方正书宋_GBK" w:eastAsia="方正书宋_GBK"/>
                <w:b/>
              </w:rPr>
            </w:pPr>
          </w:p>
        </w:tc>
        <w:tc>
          <w:tcPr>
            <w:tcW w:w="901" w:type="dxa"/>
            <w:shd w:val="clear" w:color="auto" w:fill="auto"/>
            <w:vAlign w:val="center"/>
          </w:tcPr>
          <w:p>
            <w:pPr>
              <w:spacing w:line="300" w:lineRule="exact"/>
              <w:jc w:val="right"/>
              <w:rPr>
                <w:rFonts w:ascii="方正书宋_GBK" w:eastAsia="方正书宋_GBK"/>
                <w:b/>
              </w:rPr>
            </w:pPr>
          </w:p>
        </w:tc>
        <w:tc>
          <w:tcPr>
            <w:tcW w:w="934" w:type="dxa"/>
            <w:shd w:val="clear" w:color="auto" w:fill="auto"/>
            <w:vAlign w:val="center"/>
          </w:tcPr>
          <w:p>
            <w:pPr>
              <w:spacing w:line="300" w:lineRule="exact"/>
              <w:jc w:val="right"/>
              <w:rPr>
                <w:rFonts w:ascii="方正书宋_GBK" w:eastAsia="方正书宋_GBK"/>
                <w:b/>
              </w:rPr>
            </w:pPr>
            <w:r>
              <w:rPr>
                <w:rFonts w:ascii="方正书宋_GBK" w:eastAsia="方正书宋_GBK"/>
                <w:b/>
              </w:rPr>
              <w:t>8039.15</w:t>
            </w:r>
          </w:p>
        </w:tc>
        <w:tc>
          <w:tcPr>
            <w:tcW w:w="934" w:type="dxa"/>
            <w:shd w:val="clear" w:color="auto" w:fill="auto"/>
            <w:vAlign w:val="center"/>
          </w:tcPr>
          <w:p>
            <w:pPr>
              <w:spacing w:line="300" w:lineRule="exact"/>
              <w:jc w:val="right"/>
              <w:rPr>
                <w:rFonts w:ascii="方正书宋_GBK" w:eastAsia="方正书宋_GBK"/>
                <w:b/>
              </w:rPr>
            </w:pPr>
            <w:r>
              <w:rPr>
                <w:rFonts w:ascii="方正书宋_GBK" w:eastAsia="方正书宋_GBK"/>
                <w:b/>
              </w:rPr>
              <w:t>8039.15</w:t>
            </w:r>
          </w:p>
        </w:tc>
        <w:tc>
          <w:tcPr>
            <w:tcW w:w="805" w:type="dxa"/>
            <w:shd w:val="clear" w:color="auto" w:fill="auto"/>
            <w:vAlign w:val="center"/>
          </w:tcPr>
          <w:p>
            <w:pPr>
              <w:spacing w:line="300" w:lineRule="exact"/>
              <w:jc w:val="right"/>
              <w:rPr>
                <w:rFonts w:ascii="方正书宋_GBK" w:eastAsia="方正书宋_GBK"/>
                <w:b/>
              </w:rPr>
            </w:pPr>
          </w:p>
        </w:tc>
        <w:tc>
          <w:tcPr>
            <w:tcW w:w="934" w:type="dxa"/>
            <w:shd w:val="clear" w:color="auto" w:fill="auto"/>
            <w:vAlign w:val="center"/>
          </w:tcPr>
          <w:p>
            <w:pPr>
              <w:spacing w:line="300" w:lineRule="exact"/>
              <w:jc w:val="right"/>
              <w:rPr>
                <w:rFonts w:ascii="方正书宋_GBK" w:eastAsia="方正书宋_GBK"/>
                <w:b/>
              </w:rPr>
            </w:pPr>
            <w:r>
              <w:rPr>
                <w:rFonts w:ascii="方正书宋_GBK" w:eastAsia="方正书宋_GBK"/>
                <w:b/>
              </w:rPr>
              <w:t>8039.15</w:t>
            </w:r>
          </w:p>
        </w:tc>
        <w:tc>
          <w:tcPr>
            <w:tcW w:w="851" w:type="dxa"/>
            <w:shd w:val="clear" w:color="auto" w:fill="auto"/>
            <w:vAlign w:val="center"/>
          </w:tcPr>
          <w:p>
            <w:pPr>
              <w:spacing w:line="300" w:lineRule="exact"/>
              <w:jc w:val="right"/>
              <w:rPr>
                <w:rFonts w:ascii="方正书宋_GBK" w:eastAsia="方正书宋_GBK"/>
                <w:b/>
              </w:rPr>
            </w:pPr>
          </w:p>
        </w:tc>
        <w:tc>
          <w:tcPr>
            <w:tcW w:w="895" w:type="dxa"/>
            <w:shd w:val="clear" w:color="auto" w:fill="auto"/>
            <w:vAlign w:val="center"/>
          </w:tcPr>
          <w:p>
            <w:pPr>
              <w:spacing w:line="300" w:lineRule="exact"/>
              <w:jc w:val="right"/>
              <w:rPr>
                <w:rFonts w:ascii="方正书宋_GBK" w:eastAsia="方正书宋_GBK"/>
                <w:b/>
              </w:rPr>
            </w:pPr>
          </w:p>
        </w:tc>
        <w:tc>
          <w:tcPr>
            <w:tcW w:w="852"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239.00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软件开发服务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C0201</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239.00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办公消耗用品及类似物品</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A09</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239.00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办公消耗用品及类似物品</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A09</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239.00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办公消耗用品及类似物品</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A09</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239.00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空调机</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A0206180203</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台</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0.35</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1.05</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1.05</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1.05</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239.00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空调机</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A0206180203</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台</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0.75</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1.50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1.50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1.50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239.00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计算机设备</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A020101</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台</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25.00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0.50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12.50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12.50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12.50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239.00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打印设备</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A02010601</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台</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0.25</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0.50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0.50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0.50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239.00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打印设备</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A02010601</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台</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239.00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销毁设备</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A020211</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台</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8.00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0.10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0.80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0.80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0.80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239.00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其他货物</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A99</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台</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0.50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239.00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普通电视设备(电视机)</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A02091001</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台</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0.30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0.60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0.60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0.60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239.00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计算机软件</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A020108</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2.10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2.10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2.10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2.10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239.00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家具用具</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A06</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套</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0.75</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0.75</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0.75</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0.75</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239.00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家具用具</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A06</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个</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30.00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0.10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239.00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其他货物</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A99</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台</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239.00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物业管理服务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C1204</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13.00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13.00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13.00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13.00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福利彩票销售渠道建设项目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195.00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运行维护服务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C0206</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35.00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35.00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35.00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35.00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福利彩票销售渠道建设项目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195.00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运行维护服务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C0206</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160.00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160.00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160.00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160.00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彩票销售投注机专用热敏纸</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894.80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彩票销售设备</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A033705</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百卷</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500.00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0.19</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95.00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95.00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95.00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彩票销售投注机专用热敏纸</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894.80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彩票销售设备</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A033705</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百卷</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2580.00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0.31</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799.80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799.80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799.80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专线通讯费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812.00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电信和其他信息传输服务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C03</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56.00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56.00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56.00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56.00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专线通讯费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812.00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电信和其他信息传输服务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C03</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600.00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600.00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600.00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600.00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专线通讯费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812.00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电信和其他信息传输服务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C03</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120.00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120.00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120.00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120.00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专线通讯费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812.00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电信和其他信息传输服务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C03</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36.00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36.00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36.00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36.00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福利彩票开奖项目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296.00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运营服务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C0207</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258.00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258.00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258.00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258.00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投注机设备维保项目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744.00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C99</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744.00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744.00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744.00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744.00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福利彩票业务管理费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313.00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邮政与速递服务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C0819</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福利彩票业务管理费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313.00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C99</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19.00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19.00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19.00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19.00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福利彩票业务管理费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313.00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车辆加油服务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C050302</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11.00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11.00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11.00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11.00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福利彩票业务管理费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313.00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保险服务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C1504</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4.80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4.80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4.80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4.80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福利彩票业务管理费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313.00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车辆设备维修和保养服务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C050301</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24.00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24.00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24.00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24.00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市场宣传、推广及营销项目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2672.10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被服</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A070301</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180.00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180.00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180.00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180.00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市场宣传、推广及营销项目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2672.10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印刷品</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A0802</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市场宣传、推广及营销项目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2672.10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印刷品</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A0802</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市场宣传、推广及营销项目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2672.10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印刷品</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A0802</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56.40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56.40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56.40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56.40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市场宣传、推广及营销项目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2672.10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其他货物</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A99</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30.00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30.00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30.00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30.00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市场宣传、推广及营销项目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2672.10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其他货物</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A99</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市场宣传、推广及营销项目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2672.10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其他货物</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A99</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市场宣传、推广及营销项目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2672.10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其他货物</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A99</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180.00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180.00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180.00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180.00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市场宣传、推广及营销项目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2672.10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其他货物</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A99</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70.00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70.00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70.00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70.00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市场宣传、推广及营销项目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2672.10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广告服务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C0806</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1415.60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1415.60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1415.60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1415.60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市场宣传、推广及营销项目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2672.10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运营服务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C0207</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456.00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456.00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456.00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456.00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专项设备购置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48.50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计算机设备及软件</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A0201</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48.50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48.50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48.50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48.50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中福在线销售厅运行维护费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421.55</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物业管理服务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C1204</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中福在线销售厅运行维护费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421.55</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物业管理服务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C1204</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25.00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25.00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25.00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25.00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中福在线销售厅运行维护费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421.55</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运行维护服务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C0206</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32.00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32.00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32.00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32.00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中福在线销售厅运行维护费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421.55</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C99</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176.00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176.00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176.00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176.00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中福在线销售厅运行维护费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421.55</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C99</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43.00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43.00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43.00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43.00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中福在线销售厅运行维护费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421.55</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C99</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23.00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23.00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23.00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23.00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中福在线销售厅运行维护费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421.55</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家具用具</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A06</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8.75</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8.75</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8.75</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8.75</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中福在线销售厅运行维护费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421.55</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冷藏柜</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A0206180102</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个</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0.20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0.20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0.20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0.20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中福在线销售厅运行维护费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421.55</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打印设备</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A02010601</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台</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0.30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0.30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0.30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0.30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技术服务项目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446.00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运行维护服务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C0206</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446.00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446.00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446.00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446.00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购买彩票销售与管理人力资源服务支出</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467.00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职业中介服务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C0809</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22.00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22.00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22.00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22.00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福利彩票销售系统维保项目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379.00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运行维护服务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C0206</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220.00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220.00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220.00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220.00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福利彩票销售系统维保项目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379.00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计算机设备维修和保养服务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C0501</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94.00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94.00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94.00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94.00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福利彩票销售系统维保项目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379.00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运行维护服务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C0206</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65.00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65.00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65.00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65.00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数据中心运行维护费</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398.00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物业管理服务</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C1204</w:t>
            </w:r>
          </w:p>
        </w:tc>
        <w:tc>
          <w:tcPr>
            <w:tcW w:w="690" w:type="dxa"/>
            <w:shd w:val="clear" w:color="auto" w:fill="auto"/>
            <w:vAlign w:val="center"/>
          </w:tcPr>
          <w:p>
            <w:pPr>
              <w:spacing w:line="300" w:lineRule="exact"/>
              <w:jc w:val="left"/>
              <w:rPr>
                <w:rFonts w:ascii="方正书宋_GBK" w:eastAsia="方正书宋_GBK"/>
              </w:rPr>
            </w:pP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135.00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135.00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135.00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135.00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福利彩票促销项目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4006.00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其他货物</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A99</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550.00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550.00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550.00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550.00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37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福利彩票促销项目</w:t>
            </w:r>
          </w:p>
        </w:tc>
        <w:tc>
          <w:tcPr>
            <w:tcW w:w="1028" w:type="dxa"/>
            <w:shd w:val="clear" w:color="auto" w:fill="auto"/>
            <w:vAlign w:val="center"/>
          </w:tcPr>
          <w:p>
            <w:pPr>
              <w:spacing w:line="300" w:lineRule="exact"/>
              <w:jc w:val="right"/>
              <w:rPr>
                <w:rFonts w:ascii="方正书宋_GBK" w:eastAsia="方正书宋_GBK"/>
              </w:rPr>
            </w:pPr>
            <w:r>
              <w:rPr>
                <w:rFonts w:ascii="方正书宋_GBK" w:eastAsia="方正书宋_GBK"/>
              </w:rPr>
              <w:t>4006.00</w:t>
            </w:r>
          </w:p>
        </w:tc>
        <w:tc>
          <w:tcPr>
            <w:tcW w:w="90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其他货物</w:t>
            </w:r>
          </w:p>
        </w:tc>
        <w:tc>
          <w:tcPr>
            <w:tcW w:w="1495" w:type="dxa"/>
            <w:shd w:val="clear" w:color="auto" w:fill="auto"/>
            <w:vAlign w:val="center"/>
          </w:tcPr>
          <w:p>
            <w:pPr>
              <w:spacing w:line="300" w:lineRule="exact"/>
              <w:jc w:val="left"/>
              <w:rPr>
                <w:rFonts w:ascii="方正书宋_GBK" w:eastAsia="方正书宋_GBK"/>
              </w:rPr>
            </w:pPr>
            <w:r>
              <w:rPr>
                <w:rFonts w:ascii="方正书宋_GBK" w:eastAsia="方正书宋_GBK"/>
              </w:rPr>
              <w:t>A99</w:t>
            </w:r>
          </w:p>
        </w:tc>
        <w:tc>
          <w:tcPr>
            <w:tcW w:w="69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969"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1" w:type="dxa"/>
            <w:shd w:val="clear" w:color="auto" w:fill="auto"/>
            <w:vAlign w:val="center"/>
          </w:tcPr>
          <w:p>
            <w:pPr>
              <w:spacing w:line="300" w:lineRule="exact"/>
              <w:jc w:val="right"/>
              <w:rPr>
                <w:rFonts w:ascii="方正书宋_GBK" w:eastAsia="方正书宋_GBK"/>
              </w:rPr>
            </w:pPr>
            <w:r>
              <w:rPr>
                <w:rFonts w:ascii="方正书宋_GBK" w:eastAsia="方正书宋_GBK"/>
              </w:rPr>
              <w:t>500.00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500.00</w:t>
            </w: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500.00</w:t>
            </w:r>
          </w:p>
        </w:tc>
        <w:tc>
          <w:tcPr>
            <w:tcW w:w="805" w:type="dxa"/>
            <w:shd w:val="clear" w:color="auto" w:fill="auto"/>
            <w:vAlign w:val="center"/>
          </w:tcPr>
          <w:p>
            <w:pPr>
              <w:spacing w:line="300" w:lineRule="exact"/>
              <w:jc w:val="right"/>
              <w:rPr>
                <w:rFonts w:ascii="方正书宋_GBK" w:eastAsia="方正书宋_GBK"/>
              </w:rPr>
            </w:pPr>
          </w:p>
        </w:tc>
        <w:tc>
          <w:tcPr>
            <w:tcW w:w="934" w:type="dxa"/>
            <w:shd w:val="clear" w:color="auto" w:fill="auto"/>
            <w:vAlign w:val="center"/>
          </w:tcPr>
          <w:p>
            <w:pPr>
              <w:spacing w:line="300" w:lineRule="exact"/>
              <w:jc w:val="right"/>
              <w:rPr>
                <w:rFonts w:ascii="方正书宋_GBK" w:eastAsia="方正书宋_GBK"/>
              </w:rPr>
            </w:pPr>
            <w:r>
              <w:rPr>
                <w:rFonts w:ascii="方正书宋_GBK" w:eastAsia="方正书宋_GBK"/>
              </w:rPr>
              <w:t>500.00</w:t>
            </w:r>
          </w:p>
        </w:tc>
        <w:tc>
          <w:tcPr>
            <w:tcW w:w="851" w:type="dxa"/>
            <w:shd w:val="clear" w:color="auto" w:fill="auto"/>
            <w:vAlign w:val="center"/>
          </w:tcPr>
          <w:p>
            <w:pPr>
              <w:spacing w:line="300" w:lineRule="exact"/>
              <w:jc w:val="right"/>
              <w:rPr>
                <w:rFonts w:ascii="方正书宋_GBK" w:eastAsia="方正书宋_GBK"/>
              </w:rPr>
            </w:pPr>
          </w:p>
        </w:tc>
        <w:tc>
          <w:tcPr>
            <w:tcW w:w="895" w:type="dxa"/>
            <w:shd w:val="clear" w:color="auto" w:fill="auto"/>
            <w:vAlign w:val="center"/>
          </w:tcPr>
          <w:p>
            <w:pPr>
              <w:spacing w:line="300" w:lineRule="exact"/>
              <w:jc w:val="right"/>
              <w:rPr>
                <w:rFonts w:ascii="方正书宋_GBK" w:eastAsia="方正书宋_GBK"/>
              </w:rPr>
            </w:pPr>
          </w:p>
        </w:tc>
        <w:tc>
          <w:tcPr>
            <w:tcW w:w="852" w:type="dxa"/>
            <w:shd w:val="clear" w:color="auto" w:fill="auto"/>
            <w:vAlign w:val="center"/>
          </w:tcPr>
          <w:p>
            <w:pPr>
              <w:spacing w:line="300" w:lineRule="exact"/>
              <w:jc w:val="right"/>
              <w:rPr>
                <w:rFonts w:ascii="方正书宋_GBK" w:eastAsia="方正书宋_GBK"/>
              </w:rPr>
            </w:pPr>
          </w:p>
        </w:tc>
      </w:tr>
    </w:tbl>
    <w:p>
      <w:pPr>
        <w:spacing w:line="300" w:lineRule="exact"/>
        <w:jc w:val="left"/>
        <w:outlineLvl w:val="0"/>
        <w:sectPr>
          <w:pgSz w:w="16839" w:h="11907" w:orient="landscape"/>
          <w:pgMar w:top="1361" w:right="1020" w:bottom="1361" w:left="1020" w:header="851" w:footer="992" w:gutter="0"/>
          <w:cols w:space="425" w:num="1"/>
          <w:docGrid w:type="lines" w:linePitch="312" w:charSpace="0"/>
        </w:sectPr>
      </w:pPr>
      <w:r>
        <w:rPr>
          <w:rFonts w:hint="eastAsia"/>
        </w:rPr>
        <w:t xml:space="preserve">  </w:t>
      </w:r>
    </w:p>
    <w:p>
      <w:pPr>
        <w:autoSpaceDE w:val="0"/>
        <w:autoSpaceDN w:val="0"/>
        <w:adjustRightInd w:val="0"/>
        <w:ind w:firstLine="480" w:firstLineChars="150"/>
        <w:jc w:val="left"/>
        <w:rPr>
          <w:rFonts w:ascii="黑体" w:hAnsi="黑体" w:eastAsia="黑体" w:cs="Times New Roman"/>
          <w:sz w:val="32"/>
          <w:szCs w:val="32"/>
        </w:rPr>
      </w:pPr>
      <w:r>
        <w:rPr>
          <w:rFonts w:hint="eastAsia" w:ascii="黑体" w:hAnsi="黑体" w:eastAsia="黑体" w:cs="Times New Roman"/>
          <w:sz w:val="32"/>
          <w:szCs w:val="32"/>
        </w:rPr>
        <w:t>七、国有资产信息</w:t>
      </w:r>
    </w:p>
    <w:p>
      <w:pPr>
        <w:ind w:firstLine="64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我部门上年末固定资产金额为</w:t>
      </w:r>
      <w:r>
        <w:rPr>
          <w:rFonts w:ascii="Times New Roman" w:hAnsi="Times New Roman" w:eastAsia="方正仿宋_GBK" w:cs="Times New Roman"/>
          <w:sz w:val="32"/>
          <w:szCs w:val="32"/>
        </w:rPr>
        <w:t>48038.06</w:t>
      </w:r>
      <w:r>
        <w:rPr>
          <w:rFonts w:hint="eastAsia" w:ascii="Times New Roman" w:hAnsi="Times New Roman" w:eastAsia="方正仿宋_GBK" w:cs="方正仿宋_GBK"/>
          <w:sz w:val="32"/>
          <w:szCs w:val="32"/>
        </w:rPr>
        <w:t>万元（详见下表），本年度拟购置固定资产总额为</w:t>
      </w:r>
      <w:r>
        <w:rPr>
          <w:rFonts w:ascii="Times New Roman" w:hAnsi="Times New Roman" w:eastAsia="方正仿宋_GBK" w:cs="Times New Roman"/>
          <w:sz w:val="32"/>
          <w:szCs w:val="32"/>
        </w:rPr>
        <w:t>95.55</w:t>
      </w:r>
      <w:r>
        <w:rPr>
          <w:rFonts w:hint="eastAsia" w:ascii="Times New Roman" w:hAnsi="Times New Roman" w:eastAsia="方正仿宋_GBK" w:cs="方正仿宋_GBK"/>
          <w:sz w:val="32"/>
          <w:szCs w:val="32"/>
        </w:rPr>
        <w:t>万元，主要为计算机设备、打印设备、空调、办公家具等，已列入政府采购预算，详见政府采购预算表。</w:t>
      </w:r>
    </w:p>
    <w:tbl>
      <w:tblPr>
        <w:tblStyle w:val="8"/>
        <w:tblW w:w="13482" w:type="dxa"/>
        <w:tblInd w:w="93" w:type="dxa"/>
        <w:tblLayout w:type="fixed"/>
        <w:tblCellMar>
          <w:top w:w="0" w:type="dxa"/>
          <w:left w:w="108" w:type="dxa"/>
          <w:bottom w:w="0" w:type="dxa"/>
          <w:right w:w="108" w:type="dxa"/>
        </w:tblCellMar>
      </w:tblPr>
      <w:tblGrid>
        <w:gridCol w:w="5224"/>
        <w:gridCol w:w="3155"/>
        <w:gridCol w:w="5103"/>
      </w:tblGrid>
      <w:tr>
        <w:tblPrEx>
          <w:tblLayout w:type="fixed"/>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shd w:val="clear" w:color="auto" w:fill="auto"/>
            <w:vAlign w:val="center"/>
          </w:tcPr>
          <w:p>
            <w:pPr>
              <w:spacing w:line="300" w:lineRule="exact"/>
              <w:ind w:right="420"/>
              <w:jc w:val="center"/>
              <w:rPr>
                <w:rFonts w:ascii="华文仿宋" w:hAnsi="华文仿宋" w:eastAsia="华文仿宋" w:cs="Times New Roman"/>
              </w:rPr>
            </w:pPr>
            <w:r>
              <w:rPr>
                <w:rFonts w:hint="eastAsia" w:ascii="宋体" w:hAnsi="宋体" w:eastAsia="宋体" w:cs="宋体"/>
                <w:b/>
                <w:bCs/>
                <w:kern w:val="0"/>
                <w:sz w:val="32"/>
                <w:szCs w:val="32"/>
              </w:rPr>
              <w:t>河北省省直部门固定资产占用情况表</w:t>
            </w:r>
          </w:p>
        </w:tc>
      </w:tr>
      <w:tr>
        <w:tblPrEx>
          <w:tblLayout w:type="fixed"/>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shd w:val="clear" w:color="auto" w:fill="auto"/>
            <w:vAlign w:val="center"/>
          </w:tcPr>
          <w:p>
            <w:pPr>
              <w:spacing w:line="300" w:lineRule="exact"/>
              <w:ind w:right="420"/>
              <w:rPr>
                <w:rFonts w:ascii="方正书宋_GBK" w:eastAsia="方正书宋_GBK" w:cs="Times New Roman"/>
              </w:rPr>
            </w:pPr>
            <w:r>
              <w:rPr>
                <w:rFonts w:hint="eastAsia" w:ascii="宋体" w:hAnsi="宋体" w:eastAsia="宋体" w:cs="宋体"/>
                <w:b/>
                <w:bCs/>
                <w:kern w:val="0"/>
                <w:sz w:val="22"/>
              </w:rPr>
              <w:t>编制部门：718河北省福利彩票发行管理中心</w:t>
            </w:r>
          </w:p>
        </w:tc>
        <w:tc>
          <w:tcPr>
            <w:tcW w:w="5103" w:type="dxa"/>
            <w:tcBorders>
              <w:top w:val="nil"/>
              <w:left w:val="nil"/>
              <w:bottom w:val="nil"/>
              <w:right w:val="nil"/>
            </w:tcBorders>
            <w:shd w:val="clear" w:color="auto" w:fill="auto"/>
            <w:vAlign w:val="center"/>
          </w:tcPr>
          <w:p>
            <w:pPr>
              <w:spacing w:line="300" w:lineRule="exact"/>
              <w:ind w:right="420"/>
              <w:rPr>
                <w:rFonts w:ascii="方正书宋_GBK" w:eastAsia="方正书宋_GBK" w:cs="Times New Roman"/>
              </w:rPr>
            </w:pPr>
            <w:r>
              <w:rPr>
                <w:rFonts w:hint="eastAsia" w:ascii="宋体" w:hAnsi="宋体" w:eastAsia="宋体" w:cs="宋体"/>
                <w:b/>
                <w:bCs/>
                <w:kern w:val="0"/>
                <w:sz w:val="22"/>
              </w:rPr>
              <w:t xml:space="preserve">截止时间：2018年12月31日  </w:t>
            </w:r>
          </w:p>
        </w:tc>
      </w:tr>
      <w:tr>
        <w:tblPrEx>
          <w:tblLayout w:type="fixed"/>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项   目</w:t>
            </w:r>
          </w:p>
        </w:tc>
        <w:tc>
          <w:tcPr>
            <w:tcW w:w="31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数量</w:t>
            </w: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价值（金额单位：万元）</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资产总额</w:t>
            </w:r>
          </w:p>
        </w:tc>
        <w:tc>
          <w:tcPr>
            <w:tcW w:w="31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51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48038.06</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1、房屋（平方米）</w:t>
            </w:r>
          </w:p>
        </w:tc>
        <w:tc>
          <w:tcPr>
            <w:tcW w:w="3155" w:type="dxa"/>
            <w:tcBorders>
              <w:top w:val="nil"/>
              <w:left w:val="nil"/>
              <w:bottom w:val="single" w:color="auto" w:sz="4" w:space="0"/>
              <w:right w:val="single" w:color="auto" w:sz="4" w:space="0"/>
            </w:tcBorders>
            <w:shd w:val="clear" w:color="auto" w:fill="auto"/>
            <w:vAlign w:val="center"/>
          </w:tcPr>
          <w:p>
            <w:pPr>
              <w:spacing w:line="300" w:lineRule="exact"/>
              <w:ind w:right="420" w:firstLine="630" w:firstLineChars="300"/>
              <w:rPr>
                <w:rFonts w:ascii="方正书宋_GBK" w:eastAsia="方正书宋_GBK" w:cs="Times New Roman"/>
              </w:rPr>
            </w:pPr>
            <w:r>
              <w:rPr>
                <w:rFonts w:ascii="方正书宋_GBK" w:eastAsia="方正书宋_GBK" w:cs="方正书宋_GBK"/>
              </w:rPr>
              <w:t xml:space="preserve">  32461.63  </w:t>
            </w:r>
          </w:p>
        </w:tc>
        <w:tc>
          <w:tcPr>
            <w:tcW w:w="5103" w:type="dxa"/>
            <w:tcBorders>
              <w:top w:val="nil"/>
              <w:left w:val="nil"/>
              <w:bottom w:val="single" w:color="auto" w:sz="4" w:space="0"/>
              <w:right w:val="single" w:color="auto" w:sz="4" w:space="0"/>
            </w:tcBorders>
            <w:shd w:val="clear" w:color="auto" w:fill="auto"/>
            <w:vAlign w:val="center"/>
          </w:tcPr>
          <w:p>
            <w:pPr>
              <w:spacing w:line="300" w:lineRule="exact"/>
              <w:ind w:right="420" w:firstLine="1995" w:firstLineChars="950"/>
              <w:rPr>
                <w:rFonts w:ascii="方正书宋_GBK" w:eastAsia="方正书宋_GBK" w:cs="Times New Roman"/>
              </w:rPr>
            </w:pPr>
            <w:r>
              <w:rPr>
                <w:rFonts w:ascii="方正书宋_GBK" w:eastAsia="方正书宋_GBK" w:cs="方正书宋_GBK"/>
              </w:rPr>
              <w:t>20127.45</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其中：办公用房（平方米）</w:t>
            </w:r>
          </w:p>
        </w:tc>
        <w:tc>
          <w:tcPr>
            <w:tcW w:w="31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545</w:t>
            </w:r>
          </w:p>
        </w:tc>
        <w:tc>
          <w:tcPr>
            <w:tcW w:w="51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341.44</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2、车辆（台、辆）</w:t>
            </w:r>
          </w:p>
        </w:tc>
        <w:tc>
          <w:tcPr>
            <w:tcW w:w="31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15</w:t>
            </w:r>
          </w:p>
        </w:tc>
        <w:tc>
          <w:tcPr>
            <w:tcW w:w="51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536.82</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3、单价在20万元以上的设备</w:t>
            </w:r>
          </w:p>
        </w:tc>
        <w:tc>
          <w:tcPr>
            <w:tcW w:w="3155" w:type="dxa"/>
            <w:tcBorders>
              <w:top w:val="nil"/>
              <w:left w:val="nil"/>
              <w:bottom w:val="single" w:color="auto" w:sz="4" w:space="0"/>
              <w:right w:val="single" w:color="auto" w:sz="4" w:space="0"/>
            </w:tcBorders>
            <w:shd w:val="clear" w:color="auto" w:fill="auto"/>
            <w:vAlign w:val="center"/>
          </w:tcPr>
          <w:p>
            <w:pPr>
              <w:spacing w:line="300" w:lineRule="exact"/>
              <w:ind w:right="420" w:firstLine="1365" w:firstLineChars="650"/>
              <w:rPr>
                <w:rFonts w:ascii="方正书宋_GBK" w:eastAsia="方正书宋_GBK" w:cs="Times New Roman"/>
              </w:rPr>
            </w:pPr>
            <w:r>
              <w:rPr>
                <w:rFonts w:ascii="方正书宋_GBK" w:eastAsia="方正书宋_GBK" w:cs="方正书宋_GBK"/>
              </w:rPr>
              <w:t>14</w:t>
            </w:r>
          </w:p>
        </w:tc>
        <w:tc>
          <w:tcPr>
            <w:tcW w:w="5103" w:type="dxa"/>
            <w:tcBorders>
              <w:top w:val="nil"/>
              <w:left w:val="nil"/>
              <w:bottom w:val="single" w:color="auto" w:sz="4" w:space="0"/>
              <w:right w:val="single" w:color="auto" w:sz="4" w:space="0"/>
            </w:tcBorders>
            <w:shd w:val="clear" w:color="auto" w:fill="auto"/>
            <w:vAlign w:val="center"/>
          </w:tcPr>
          <w:p>
            <w:pPr>
              <w:widowControl/>
              <w:jc w:val="center"/>
              <w:rPr>
                <w:rFonts w:ascii="方正书宋_GBK" w:eastAsia="方正书宋_GBK" w:cs="Times New Roman"/>
              </w:rPr>
            </w:pPr>
            <w:r>
              <w:rPr>
                <w:rFonts w:ascii="宋体" w:hAnsi="宋体" w:eastAsia="宋体" w:cs="宋体"/>
                <w:kern w:val="0"/>
                <w:sz w:val="22"/>
              </w:rPr>
              <w:t>371.71</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4、其他固定资产</w:t>
            </w:r>
          </w:p>
        </w:tc>
        <w:tc>
          <w:tcPr>
            <w:tcW w:w="31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51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27002.08</w:t>
            </w:r>
          </w:p>
        </w:tc>
      </w:tr>
    </w:tbl>
    <w:p>
      <w:pPr>
        <w:rPr>
          <w:rFonts w:ascii="仿宋_GB2312" w:hAnsi="黑体" w:eastAsia="仿宋_GB2312" w:cs="Times New Roman"/>
          <w:color w:val="FF0000"/>
          <w:sz w:val="32"/>
          <w:szCs w:val="32"/>
        </w:rPr>
      </w:pPr>
    </w:p>
    <w:p>
      <w:pPr>
        <w:autoSpaceDE w:val="0"/>
        <w:autoSpaceDN w:val="0"/>
        <w:adjustRightInd w:val="0"/>
        <w:ind w:firstLine="800" w:firstLineChars="250"/>
        <w:jc w:val="left"/>
        <w:rPr>
          <w:rFonts w:ascii="黑体" w:hAnsi="黑体" w:eastAsia="黑体" w:cs="Times New Roman"/>
          <w:sz w:val="32"/>
          <w:szCs w:val="32"/>
        </w:rPr>
      </w:pPr>
      <w:r>
        <w:rPr>
          <w:rFonts w:hint="eastAsia" w:ascii="黑体" w:hAnsi="黑体" w:eastAsia="黑体" w:cs="黑体"/>
          <w:sz w:val="32"/>
          <w:szCs w:val="32"/>
        </w:rPr>
        <w:t>八、名词解释</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、政府性基金预算：是对依照法律、行政法规的规定在一定期限内向特定对象征收、收取或者以其他方式筹集的资金，专项用于特定公共事业发展的收支预算。</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、财政拨款收入：指财政部门当年拨付的资金，用于开展彩票销售业务活动及其辅助活动的业务费收入。</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、其他收入：除财政拨款收入、经营收入以外的各项收入，包括银行存款利息收入、税务返还手续费收入等。</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、基本支出：为保障机构正常运转、完成日常工作而发生的人员支出和日常公用支出。</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、项目支出：为保障彩票销售正常运行而发生的业务支出。</w:t>
      </w:r>
    </w:p>
    <w:p>
      <w:pPr>
        <w:ind w:firstLine="480" w:firstLineChars="15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6</w:t>
      </w:r>
      <w:r>
        <w:rPr>
          <w:rFonts w:hint="eastAsia" w:ascii="Times New Roman" w:hAnsi="Times New Roman" w:eastAsia="方正仿宋_GBK" w:cs="方正仿宋_GBK"/>
          <w:sz w:val="32"/>
          <w:szCs w:val="32"/>
        </w:rPr>
        <w:t>、上年结转：指以前年度尚未完成、结转到本年仍按原规定用途继续使用的资金。</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方正仿宋_GBK"/>
          <w:sz w:val="32"/>
          <w:szCs w:val="32"/>
        </w:rPr>
        <w:t>、“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等支出；公务接待费反映单位按规定开支的各类公务接待（含外宾接待）支出。</w:t>
      </w:r>
    </w:p>
    <w:p>
      <w:pPr>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方正仿宋_GBK"/>
          <w:sz w:val="32"/>
          <w:szCs w:val="32"/>
        </w:rPr>
        <w:t>、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ind w:firstLine="800" w:firstLineChars="250"/>
        <w:jc w:val="left"/>
        <w:rPr>
          <w:rFonts w:ascii="黑体" w:hAnsi="黑体" w:eastAsia="黑体" w:cs="Times New Roman"/>
          <w:sz w:val="32"/>
          <w:szCs w:val="32"/>
        </w:rPr>
      </w:pPr>
      <w:r>
        <w:rPr>
          <w:rFonts w:hint="eastAsia" w:ascii="黑体" w:hAnsi="黑体" w:eastAsia="黑体" w:cs="黑体"/>
          <w:sz w:val="32"/>
          <w:szCs w:val="32"/>
        </w:rPr>
        <w:t>九、其他需要说明的事项</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我部门无其他需要说明的事项。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8537A2-FA92-43AA-BC06-B1D3C1F9F0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2" w:fontKey="{5B4A3120-8A0F-42C4-8E1B-050A722A36D5}"/>
  </w:font>
  <w:font w:name="方正小标宋_GBK">
    <w:panose1 w:val="02000000000000000000"/>
    <w:charset w:val="86"/>
    <w:family w:val="script"/>
    <w:pitch w:val="default"/>
    <w:sig w:usb0="A00002BF" w:usb1="38CF7CFA" w:usb2="00082016" w:usb3="00000000" w:csb0="00040001" w:csb1="00000000"/>
    <w:embedRegular r:id="rId3" w:fontKey="{83996C6E-6B14-4DEB-938E-1D3C0301A0EF}"/>
  </w:font>
  <w:font w:name="方正仿宋_GBK">
    <w:panose1 w:val="02000000000000000000"/>
    <w:charset w:val="86"/>
    <w:family w:val="script"/>
    <w:pitch w:val="default"/>
    <w:sig w:usb0="A00002BF" w:usb1="38CF7CFA" w:usb2="00082016" w:usb3="00000000" w:csb0="00040001" w:csb1="00000000"/>
    <w:embedRegular r:id="rId4" w:fontKey="{800CA087-F8EC-4DBA-9578-DEC2FEF35647}"/>
  </w:font>
  <w:font w:name="方正书宋_GBK">
    <w:altName w:val="微软雅黑"/>
    <w:panose1 w:val="00000000000000000000"/>
    <w:charset w:val="86"/>
    <w:family w:val="script"/>
    <w:pitch w:val="default"/>
    <w:sig w:usb0="00000000" w:usb1="00000000" w:usb2="00000010" w:usb3="00000000" w:csb0="00040000" w:csb1="00000000"/>
    <w:embedRegular r:id="rId5" w:fontKey="{B2EBE61E-3CB2-42D9-94BC-013744E1ECC3}"/>
  </w:font>
  <w:font w:name="仿宋_GB2312">
    <w:panose1 w:val="02010609030101010101"/>
    <w:charset w:val="86"/>
    <w:family w:val="modern"/>
    <w:pitch w:val="default"/>
    <w:sig w:usb0="00000001" w:usb1="080E0000" w:usb2="00000000" w:usb3="00000000" w:csb0="00040000" w:csb1="00000000"/>
    <w:embedRegular r:id="rId6" w:fontKey="{D40D0924-1B25-4DD7-A1AE-0F6E9FD45090}"/>
  </w:font>
  <w:font w:name="华文仿宋">
    <w:panose1 w:val="02010600040101010101"/>
    <w:charset w:val="86"/>
    <w:family w:val="auto"/>
    <w:pitch w:val="default"/>
    <w:sig w:usb0="00000287" w:usb1="080F0000" w:usb2="00000000" w:usb3="00000000" w:csb0="0004009F" w:csb1="DFD70000"/>
    <w:embedRegular r:id="rId7" w:fontKey="{9BB70F08-5CD8-4740-9345-24F5D977FE77}"/>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6032"/>
    <w:rsid w:val="00037AF6"/>
    <w:rsid w:val="00044919"/>
    <w:rsid w:val="00057007"/>
    <w:rsid w:val="00075D5F"/>
    <w:rsid w:val="00083120"/>
    <w:rsid w:val="000B529B"/>
    <w:rsid w:val="000C3A19"/>
    <w:rsid w:val="001245BB"/>
    <w:rsid w:val="001251A3"/>
    <w:rsid w:val="00146441"/>
    <w:rsid w:val="00153364"/>
    <w:rsid w:val="00155012"/>
    <w:rsid w:val="001945DE"/>
    <w:rsid w:val="001B4C51"/>
    <w:rsid w:val="001E3124"/>
    <w:rsid w:val="001F7873"/>
    <w:rsid w:val="001F7A9C"/>
    <w:rsid w:val="00241FD4"/>
    <w:rsid w:val="00251B12"/>
    <w:rsid w:val="00296113"/>
    <w:rsid w:val="002A673A"/>
    <w:rsid w:val="002C5E13"/>
    <w:rsid w:val="002C62BC"/>
    <w:rsid w:val="002D4F9A"/>
    <w:rsid w:val="002E0EB8"/>
    <w:rsid w:val="002F3E58"/>
    <w:rsid w:val="0030542C"/>
    <w:rsid w:val="00311B7A"/>
    <w:rsid w:val="00365030"/>
    <w:rsid w:val="00372FA3"/>
    <w:rsid w:val="003774CC"/>
    <w:rsid w:val="00382533"/>
    <w:rsid w:val="0039138E"/>
    <w:rsid w:val="004248B8"/>
    <w:rsid w:val="00424943"/>
    <w:rsid w:val="0043175C"/>
    <w:rsid w:val="00436C83"/>
    <w:rsid w:val="00437296"/>
    <w:rsid w:val="004416AC"/>
    <w:rsid w:val="00451590"/>
    <w:rsid w:val="00451871"/>
    <w:rsid w:val="0045368B"/>
    <w:rsid w:val="004631FC"/>
    <w:rsid w:val="004706DE"/>
    <w:rsid w:val="00472923"/>
    <w:rsid w:val="00482923"/>
    <w:rsid w:val="004B0C3A"/>
    <w:rsid w:val="004B5ACC"/>
    <w:rsid w:val="004D5788"/>
    <w:rsid w:val="004E3066"/>
    <w:rsid w:val="004E74CD"/>
    <w:rsid w:val="004F2A82"/>
    <w:rsid w:val="004F7DD5"/>
    <w:rsid w:val="00533F50"/>
    <w:rsid w:val="00572067"/>
    <w:rsid w:val="00573562"/>
    <w:rsid w:val="00576161"/>
    <w:rsid w:val="005772D3"/>
    <w:rsid w:val="00577AD9"/>
    <w:rsid w:val="00590ECE"/>
    <w:rsid w:val="005A32DA"/>
    <w:rsid w:val="005E2287"/>
    <w:rsid w:val="00603850"/>
    <w:rsid w:val="00607C20"/>
    <w:rsid w:val="0061192B"/>
    <w:rsid w:val="00614A29"/>
    <w:rsid w:val="00616A2D"/>
    <w:rsid w:val="00663039"/>
    <w:rsid w:val="00673D76"/>
    <w:rsid w:val="006741FD"/>
    <w:rsid w:val="00681847"/>
    <w:rsid w:val="006854F0"/>
    <w:rsid w:val="006B1C4A"/>
    <w:rsid w:val="006B610D"/>
    <w:rsid w:val="006E49F5"/>
    <w:rsid w:val="007013C8"/>
    <w:rsid w:val="0072398D"/>
    <w:rsid w:val="00753836"/>
    <w:rsid w:val="0075393C"/>
    <w:rsid w:val="00754592"/>
    <w:rsid w:val="007574C7"/>
    <w:rsid w:val="00776C08"/>
    <w:rsid w:val="00783590"/>
    <w:rsid w:val="007835BD"/>
    <w:rsid w:val="007C219A"/>
    <w:rsid w:val="007D3660"/>
    <w:rsid w:val="007E1DA8"/>
    <w:rsid w:val="007F6C26"/>
    <w:rsid w:val="00813208"/>
    <w:rsid w:val="008149F4"/>
    <w:rsid w:val="008334AE"/>
    <w:rsid w:val="008340EB"/>
    <w:rsid w:val="00836FED"/>
    <w:rsid w:val="00837124"/>
    <w:rsid w:val="0083724E"/>
    <w:rsid w:val="00845CD2"/>
    <w:rsid w:val="00852B0D"/>
    <w:rsid w:val="00880905"/>
    <w:rsid w:val="00881692"/>
    <w:rsid w:val="00883D1A"/>
    <w:rsid w:val="008A25C2"/>
    <w:rsid w:val="008A6576"/>
    <w:rsid w:val="008B3CC5"/>
    <w:rsid w:val="008B52CD"/>
    <w:rsid w:val="008E4261"/>
    <w:rsid w:val="008F4662"/>
    <w:rsid w:val="00905D08"/>
    <w:rsid w:val="00914BA9"/>
    <w:rsid w:val="0091557A"/>
    <w:rsid w:val="00925753"/>
    <w:rsid w:val="009425F4"/>
    <w:rsid w:val="00966C5C"/>
    <w:rsid w:val="00973104"/>
    <w:rsid w:val="009731F5"/>
    <w:rsid w:val="00995BF0"/>
    <w:rsid w:val="009A16D5"/>
    <w:rsid w:val="009A353D"/>
    <w:rsid w:val="009B0B77"/>
    <w:rsid w:val="009B511E"/>
    <w:rsid w:val="00A22C27"/>
    <w:rsid w:val="00A44E3D"/>
    <w:rsid w:val="00A55870"/>
    <w:rsid w:val="00A703FD"/>
    <w:rsid w:val="00A72D2E"/>
    <w:rsid w:val="00A74447"/>
    <w:rsid w:val="00A74CE5"/>
    <w:rsid w:val="00A80782"/>
    <w:rsid w:val="00A911E7"/>
    <w:rsid w:val="00A939D9"/>
    <w:rsid w:val="00AA2FA3"/>
    <w:rsid w:val="00AB5BD1"/>
    <w:rsid w:val="00AB6048"/>
    <w:rsid w:val="00B0209A"/>
    <w:rsid w:val="00B0253F"/>
    <w:rsid w:val="00B20712"/>
    <w:rsid w:val="00B2411F"/>
    <w:rsid w:val="00B43238"/>
    <w:rsid w:val="00B45DD3"/>
    <w:rsid w:val="00B52632"/>
    <w:rsid w:val="00B54709"/>
    <w:rsid w:val="00B75216"/>
    <w:rsid w:val="00B91D52"/>
    <w:rsid w:val="00B91F60"/>
    <w:rsid w:val="00B9490F"/>
    <w:rsid w:val="00BA1ACD"/>
    <w:rsid w:val="00BD09F8"/>
    <w:rsid w:val="00C27931"/>
    <w:rsid w:val="00C27E56"/>
    <w:rsid w:val="00CA7176"/>
    <w:rsid w:val="00CB3D48"/>
    <w:rsid w:val="00CC75B0"/>
    <w:rsid w:val="00CD2773"/>
    <w:rsid w:val="00CE143B"/>
    <w:rsid w:val="00CF198B"/>
    <w:rsid w:val="00D27003"/>
    <w:rsid w:val="00D46CF7"/>
    <w:rsid w:val="00D51256"/>
    <w:rsid w:val="00D5159D"/>
    <w:rsid w:val="00DC56C3"/>
    <w:rsid w:val="00DC7861"/>
    <w:rsid w:val="00DF6776"/>
    <w:rsid w:val="00E167C7"/>
    <w:rsid w:val="00E267C6"/>
    <w:rsid w:val="00E56AB2"/>
    <w:rsid w:val="00EA52AB"/>
    <w:rsid w:val="00EC0639"/>
    <w:rsid w:val="00EC47F6"/>
    <w:rsid w:val="00F11795"/>
    <w:rsid w:val="00F149E2"/>
    <w:rsid w:val="00F34F2B"/>
    <w:rsid w:val="00F35D42"/>
    <w:rsid w:val="00F66032"/>
    <w:rsid w:val="00F87C1E"/>
    <w:rsid w:val="00F958C2"/>
    <w:rsid w:val="00F97314"/>
    <w:rsid w:val="00FA1B1D"/>
    <w:rsid w:val="00FE3896"/>
    <w:rsid w:val="00FE6FA1"/>
    <w:rsid w:val="00FF3C96"/>
    <w:rsid w:val="0C465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10"/>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toc 1"/>
    <w:basedOn w:val="1"/>
    <w:next w:val="1"/>
    <w:uiPriority w:val="0"/>
    <w:rPr>
      <w:rFonts w:ascii="Times New Roman" w:hAnsi="Times New Roman" w:eastAsia="宋体" w:cs="Times New Roman"/>
      <w:szCs w:val="24"/>
    </w:rPr>
  </w:style>
  <w:style w:type="paragraph" w:styleId="6">
    <w:name w:val="toc 2"/>
    <w:basedOn w:val="1"/>
    <w:next w:val="1"/>
    <w:uiPriority w:val="0"/>
    <w:pPr>
      <w:ind w:left="420" w:leftChars="200"/>
    </w:pPr>
    <w:rPr>
      <w:rFonts w:ascii="Times New Roman" w:hAnsi="Times New Roman" w:eastAsia="宋体" w:cs="Times New Roman"/>
      <w:szCs w:val="24"/>
    </w:rPr>
  </w:style>
  <w:style w:type="character" w:customStyle="1" w:styleId="9">
    <w:name w:val="页眉 Char"/>
    <w:basedOn w:val="7"/>
    <w:link w:val="4"/>
    <w:uiPriority w:val="0"/>
    <w:rPr>
      <w:rFonts w:ascii="Times New Roman" w:hAnsi="Times New Roman" w:eastAsia="宋体" w:cs="Times New Roman"/>
      <w:sz w:val="18"/>
      <w:szCs w:val="18"/>
    </w:rPr>
  </w:style>
  <w:style w:type="character" w:customStyle="1" w:styleId="10">
    <w:name w:val="页脚 Char"/>
    <w:basedOn w:val="7"/>
    <w:link w:val="3"/>
    <w:uiPriority w:val="0"/>
    <w:rPr>
      <w:rFonts w:ascii="Times New Roman" w:hAnsi="Times New Roman" w:eastAsia="宋体" w:cs="Times New Roman"/>
      <w:sz w:val="18"/>
      <w:szCs w:val="18"/>
    </w:rPr>
  </w:style>
  <w:style w:type="character" w:customStyle="1" w:styleId="11">
    <w:name w:val="批注框文本 Char"/>
    <w:basedOn w:val="7"/>
    <w:link w:val="2"/>
    <w:semiHidden/>
    <w:uiPriority w:val="99"/>
    <w:rPr>
      <w:sz w:val="18"/>
      <w:szCs w:val="18"/>
    </w:rPr>
  </w:style>
  <w:style w:type="paragraph" w:customStyle="1" w:styleId="12">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FE74D0-CB8B-4EE8-9FB5-15B61CE9A3B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1429</Words>
  <Characters>8150</Characters>
  <Lines>67</Lines>
  <Paragraphs>19</Paragraphs>
  <TotalTime>0</TotalTime>
  <ScaleCrop>false</ScaleCrop>
  <LinksUpToDate>false</LinksUpToDate>
  <CharactersWithSpaces>9560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2019-01-15T00:52:00Z</dcterms:created>
  <dc:creator>guest</dc:creator>
  <cp:lastModifiedBy>tanzhaofeng</cp:lastModifiedBy>
  <cp:lastPrinted>2017-11-09T01:12:00Z</cp:lastPrinted>
  <dcterms:modified xsi:type="dcterms:W3CDTF">2023-08-07T02:36:41Z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