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河北省福利彩票发行管理中心2021年部门预算信息公开情况说明</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eastAsia="zh-CN"/>
        </w:rPr>
        <w:t>《中华人民共和国预算法》</w:t>
      </w:r>
      <w:r>
        <w:rPr>
          <w:rFonts w:hint="default" w:ascii="Times New Roman" w:hAnsi="Times New Roman" w:eastAsia="方正仿宋_GBK" w:cs="Times New Roman"/>
          <w:sz w:val="32"/>
          <w:szCs w:val="32"/>
        </w:rPr>
        <w:t>、《地方预决算公开操作规程》和《河北省省级预算公开办法》规定，现将河北省福利彩票发行管理中心2021年部门预算公开如下：</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一、部门职责及机构设置情况</w:t>
      </w:r>
    </w:p>
    <w:p>
      <w:pPr>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部门职责：</w:t>
      </w:r>
    </w:p>
    <w:p>
      <w:pPr>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（一）制定并组织落实本行政区域福利彩票销售管理办法和工作规范。</w:t>
      </w:r>
    </w:p>
    <w:p>
      <w:pPr>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（二）向彩票发行机构提出停止彩票品种或者变更彩票品种审批事项的建议。</w:t>
      </w:r>
    </w:p>
    <w:p>
      <w:pPr>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（三）向同级财政部门提出本行政区域彩票销售实施方案，经审核后组织实施。</w:t>
      </w:r>
    </w:p>
    <w:p>
      <w:pPr>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（四）负责协调推进本行政区域福利彩票销售系统的建设、运营和维护。</w:t>
      </w:r>
    </w:p>
    <w:p>
      <w:pPr>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（五）负责组织拟订并落实本行政区域福利彩票销售系统数据管理、资金归集结算、销售渠道规划、物流管理、开奖兑奖。组织开展数据安全风险监测。</w:t>
      </w:r>
    </w:p>
    <w:p>
      <w:pPr>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（六）负责组织实施本行政区域福利彩票的形象建设、彩票代销、营销宣传、业务培训、人才队伍建设等工作。</w:t>
      </w:r>
    </w:p>
    <w:p>
      <w:pPr>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机构设置：</w:t>
      </w:r>
    </w:p>
    <w:p>
      <w:pPr>
        <w:ind w:firstLine="640" w:firstLineChars="200"/>
        <w:jc w:val="center"/>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24"/>
        </w:rPr>
        <w:t>部门机构设置情况</w:t>
      </w:r>
    </w:p>
    <w:tbl>
      <w:tblPr>
        <w:tblStyle w:val="12"/>
        <w:tblW w:w="1010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9"/>
        <w:gridCol w:w="1134"/>
        <w:gridCol w:w="1276"/>
        <w:gridCol w:w="33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359" w:type="dxa"/>
            <w:vMerge w:val="restart"/>
            <w:vAlign w:val="center"/>
          </w:tcPr>
          <w:p>
            <w:pPr>
              <w:spacing w:line="300" w:lineRule="exact"/>
              <w:jc w:val="center"/>
              <w:rPr>
                <w:rFonts w:hint="default" w:ascii="Times New Roman" w:hAnsi="Times New Roman" w:eastAsia="方正书宋_GBK" w:cs="Times New Roman"/>
                <w:b/>
                <w:bCs/>
              </w:rPr>
            </w:pPr>
            <w:r>
              <w:rPr>
                <w:rFonts w:hint="default" w:ascii="Times New Roman" w:hAnsi="Times New Roman" w:eastAsia="方正书宋_GBK" w:cs="Times New Roman"/>
                <w:b/>
                <w:bCs/>
              </w:rPr>
              <w:t>单位名称</w:t>
            </w:r>
          </w:p>
        </w:tc>
        <w:tc>
          <w:tcPr>
            <w:tcW w:w="1134" w:type="dxa"/>
            <w:vMerge w:val="restart"/>
            <w:vAlign w:val="center"/>
          </w:tcPr>
          <w:p>
            <w:pPr>
              <w:spacing w:line="300" w:lineRule="exact"/>
              <w:jc w:val="center"/>
              <w:rPr>
                <w:rFonts w:hint="default" w:ascii="Times New Roman" w:hAnsi="Times New Roman" w:eastAsia="方正书宋_GBK" w:cs="Times New Roman"/>
                <w:b/>
                <w:bCs/>
              </w:rPr>
            </w:pPr>
            <w:r>
              <w:rPr>
                <w:rFonts w:hint="default" w:ascii="Times New Roman" w:hAnsi="Times New Roman" w:eastAsia="方正书宋_GBK" w:cs="Times New Roman"/>
                <w:b/>
                <w:bCs/>
              </w:rPr>
              <w:t>单位性质</w:t>
            </w:r>
          </w:p>
        </w:tc>
        <w:tc>
          <w:tcPr>
            <w:tcW w:w="1276" w:type="dxa"/>
            <w:vMerge w:val="restart"/>
            <w:vAlign w:val="center"/>
          </w:tcPr>
          <w:p>
            <w:pPr>
              <w:spacing w:line="300" w:lineRule="exact"/>
              <w:jc w:val="center"/>
              <w:rPr>
                <w:rFonts w:hint="default" w:ascii="Times New Roman" w:hAnsi="Times New Roman" w:eastAsia="方正书宋_GBK" w:cs="Times New Roman"/>
                <w:b/>
                <w:bCs/>
              </w:rPr>
            </w:pPr>
            <w:r>
              <w:rPr>
                <w:rFonts w:hint="default" w:ascii="Times New Roman" w:hAnsi="Times New Roman" w:eastAsia="方正书宋_GBK" w:cs="Times New Roman"/>
                <w:b/>
                <w:bCs/>
              </w:rPr>
              <w:t>单位规格</w:t>
            </w:r>
          </w:p>
        </w:tc>
        <w:tc>
          <w:tcPr>
            <w:tcW w:w="3334" w:type="dxa"/>
            <w:vMerge w:val="restart"/>
            <w:vAlign w:val="center"/>
          </w:tcPr>
          <w:p>
            <w:pPr>
              <w:spacing w:line="300" w:lineRule="exact"/>
              <w:jc w:val="center"/>
              <w:rPr>
                <w:rFonts w:hint="default" w:ascii="Times New Roman" w:hAnsi="Times New Roman" w:eastAsia="方正书宋_GBK" w:cs="Times New Roman"/>
                <w:b/>
                <w:bCs/>
              </w:rPr>
            </w:pPr>
            <w:r>
              <w:rPr>
                <w:rFonts w:hint="default" w:ascii="Times New Roman" w:hAnsi="Times New Roman" w:eastAsia="方正书宋_GBK" w:cs="Times New Roman"/>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359" w:type="dxa"/>
            <w:vMerge w:val="continue"/>
            <w:vAlign w:val="center"/>
          </w:tcPr>
          <w:p>
            <w:pPr>
              <w:spacing w:line="300" w:lineRule="exact"/>
              <w:jc w:val="left"/>
              <w:outlineLvl w:val="0"/>
              <w:rPr>
                <w:rFonts w:hint="default" w:ascii="Times New Roman" w:hAnsi="Times New Roman" w:cs="Times New Roman"/>
              </w:rPr>
            </w:pPr>
          </w:p>
        </w:tc>
        <w:tc>
          <w:tcPr>
            <w:tcW w:w="1134" w:type="dxa"/>
            <w:vMerge w:val="continue"/>
            <w:vAlign w:val="center"/>
          </w:tcPr>
          <w:p>
            <w:pPr>
              <w:spacing w:line="300" w:lineRule="exact"/>
              <w:jc w:val="left"/>
              <w:outlineLvl w:val="0"/>
              <w:rPr>
                <w:rFonts w:hint="default" w:ascii="Times New Roman" w:hAnsi="Times New Roman" w:cs="Times New Roman"/>
              </w:rPr>
            </w:pPr>
          </w:p>
        </w:tc>
        <w:tc>
          <w:tcPr>
            <w:tcW w:w="1276" w:type="dxa"/>
            <w:vMerge w:val="continue"/>
            <w:vAlign w:val="center"/>
          </w:tcPr>
          <w:p>
            <w:pPr>
              <w:spacing w:line="300" w:lineRule="exact"/>
              <w:jc w:val="left"/>
              <w:outlineLvl w:val="0"/>
              <w:rPr>
                <w:rFonts w:hint="default" w:ascii="Times New Roman" w:hAnsi="Times New Roman" w:cs="Times New Roman"/>
              </w:rPr>
            </w:pPr>
          </w:p>
        </w:tc>
        <w:tc>
          <w:tcPr>
            <w:tcW w:w="3334" w:type="dxa"/>
            <w:vMerge w:val="continue"/>
            <w:vAlign w:val="center"/>
          </w:tcPr>
          <w:p>
            <w:pPr>
              <w:spacing w:line="300" w:lineRule="exact"/>
              <w:jc w:val="left"/>
              <w:outlineLvl w:val="0"/>
              <w:rPr>
                <w:rFonts w:hint="default"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河北省福利彩票发行管理中心</w:t>
            </w:r>
          </w:p>
        </w:tc>
        <w:tc>
          <w:tcPr>
            <w:tcW w:w="1134" w:type="dxa"/>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事业</w:t>
            </w:r>
          </w:p>
        </w:tc>
        <w:tc>
          <w:tcPr>
            <w:tcW w:w="1276" w:type="dxa"/>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正处级</w:t>
            </w:r>
          </w:p>
        </w:tc>
        <w:tc>
          <w:tcPr>
            <w:tcW w:w="3334" w:type="dxa"/>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财政性资金零补助</w:t>
            </w:r>
          </w:p>
        </w:tc>
      </w:tr>
    </w:tbl>
    <w:p>
      <w:pPr>
        <w:jc w:val="center"/>
        <w:outlineLvl w:val="0"/>
        <w:rPr>
          <w:rFonts w:hint="default" w:ascii="Times New Roman" w:hAnsi="Times New Roman" w:eastAsia="方正小标宋_GBK" w:cs="Times New Roman"/>
          <w:sz w:val="32"/>
          <w:szCs w:val="24"/>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二、部门预算安排的总体情况</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按照预算管理有关规定，目前我省部门预算的编制实行综合预算管理，即全部收入和支出都反映在预算中。河北省福利彩票发行管理中心的收支包含在部门预算中。</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1、收入说明</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反映本部门当年全部收入。2021年预算收入16693.33万元，其中：一般公共预算收入0万元，基金预算收入13248.50万元，财政专户核拨收入0万元，其他来源收入（单位资金）350万元，上年结转3094.83万元。</w:t>
      </w:r>
    </w:p>
    <w:p>
      <w:pPr>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2、支出说明</w:t>
      </w:r>
    </w:p>
    <w:p>
      <w:pPr>
        <w:ind w:firstLine="640"/>
        <w:rPr>
          <w:rFonts w:hint="default" w:ascii="Times New Roman" w:hAnsi="Times New Roman" w:eastAsia="方正仿宋_GBK" w:cs="Times New Roman"/>
          <w:sz w:val="32"/>
          <w:szCs w:val="32"/>
          <w:highlight w:val="red"/>
        </w:rPr>
      </w:pPr>
      <w:r>
        <w:rPr>
          <w:rFonts w:hint="default" w:ascii="Times New Roman" w:hAnsi="Times New Roman" w:eastAsia="方正仿宋_GBK" w:cs="Times New Roman"/>
          <w:sz w:val="32"/>
          <w:szCs w:val="32"/>
        </w:rPr>
        <w:t>收支预算总表支出栏、基本支出表、项目支出表按经济分类和支出功能分类科目编制，反映河北省福利彩票发行管理中心年度部门预算中支出预算的总体情况。2021年支出预算16693.33万元，其中基本支出1296万元，包括人员经费1057万元和日常公用经费239万元；项目支出15397.33万元，主要为福利彩票销售机构的业务费支出12354.83万元，彩票市场调控资金支出1892.5万元，彩票公益金安排的支出800万元。</w:t>
      </w:r>
    </w:p>
    <w:p>
      <w:pPr>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3、比上年增减情况</w:t>
      </w:r>
    </w:p>
    <w:p>
      <w:pPr>
        <w:ind w:firstLine="640"/>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rPr>
        <w:t>2021年预算收支安排16693.33万元，较2020年预算</w:t>
      </w:r>
      <w:r>
        <w:rPr>
          <w:rFonts w:hint="default" w:ascii="Times New Roman" w:hAnsi="Times New Roman" w:eastAsia="方正仿宋_GBK" w:cs="Times New Roman"/>
          <w:sz w:val="32"/>
          <w:szCs w:val="32"/>
          <w:highlight w:val="none"/>
        </w:rPr>
        <w:t>减少</w:t>
      </w:r>
      <w:r>
        <w:rPr>
          <w:rFonts w:hint="default" w:ascii="Times New Roman" w:hAnsi="Times New Roman" w:eastAsia="方正仿宋_GBK" w:cs="Times New Roman"/>
          <w:sz w:val="32"/>
          <w:szCs w:val="32"/>
          <w:highlight w:val="none"/>
          <w:lang w:val="en-US" w:eastAsia="zh-CN"/>
        </w:rPr>
        <w:t>4391.5</w:t>
      </w:r>
      <w:r>
        <w:rPr>
          <w:rFonts w:hint="default" w:ascii="Times New Roman" w:hAnsi="Times New Roman" w:eastAsia="方正仿宋_GBK" w:cs="Times New Roman"/>
          <w:sz w:val="32"/>
          <w:szCs w:val="32"/>
          <w:highlight w:val="none"/>
        </w:rPr>
        <w:t>万元</w:t>
      </w:r>
      <w:r>
        <w:rPr>
          <w:rFonts w:hint="default" w:ascii="Times New Roman" w:hAnsi="Times New Roman" w:eastAsia="方正仿宋_GBK" w:cs="Times New Roman"/>
          <w:sz w:val="32"/>
          <w:szCs w:val="32"/>
        </w:rPr>
        <w:t>，其中：基本支出增加68万元，主要为增加人员经费支出；项目支出</w:t>
      </w:r>
      <w:r>
        <w:rPr>
          <w:rFonts w:hint="default" w:ascii="Times New Roman" w:hAnsi="Times New Roman" w:eastAsia="方正仿宋_GBK" w:cs="Times New Roman"/>
          <w:sz w:val="32"/>
          <w:szCs w:val="32"/>
          <w:highlight w:val="none"/>
        </w:rPr>
        <w:t>减少</w:t>
      </w:r>
      <w:r>
        <w:rPr>
          <w:rFonts w:hint="default" w:ascii="Times New Roman" w:hAnsi="Times New Roman" w:eastAsia="方正仿宋_GBK" w:cs="Times New Roman"/>
          <w:sz w:val="32"/>
          <w:szCs w:val="32"/>
          <w:highlight w:val="none"/>
          <w:lang w:val="en-US" w:eastAsia="zh-CN"/>
        </w:rPr>
        <w:t>4459.5</w:t>
      </w:r>
      <w:r>
        <w:rPr>
          <w:rFonts w:hint="default" w:ascii="Times New Roman" w:hAnsi="Times New Roman" w:eastAsia="方正仿宋_GBK" w:cs="Times New Roman"/>
          <w:sz w:val="32"/>
          <w:szCs w:val="32"/>
          <w:highlight w:val="none"/>
        </w:rPr>
        <w:t>万元</w:t>
      </w:r>
      <w:r>
        <w:rPr>
          <w:rFonts w:hint="default" w:ascii="Times New Roman" w:hAnsi="Times New Roman" w:eastAsia="方正仿宋_GBK" w:cs="Times New Roman"/>
          <w:sz w:val="32"/>
          <w:szCs w:val="32"/>
        </w:rPr>
        <w:t>，主要为减少了中福在线销售厅运行维护费、彩票销售投注机专用热敏纸、福利彩票促销、市场宣传、推广及营销项目支出。</w:t>
      </w:r>
    </w:p>
    <w:p>
      <w:pPr>
        <w:autoSpaceDE w:val="0"/>
        <w:autoSpaceDN w:val="0"/>
        <w:adjustRightInd w:val="0"/>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三、机关运行经费安排情况</w:t>
      </w:r>
    </w:p>
    <w:p>
      <w:pPr>
        <w:ind w:firstLine="640" w:firstLineChars="200"/>
        <w:jc w:val="left"/>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2021年，我部门机关运行经费共计安排239万元，主要用于日常维修、办公用房水电费、办公用房取暖费、办公用房物业管理费等日常运行支出。</w:t>
      </w:r>
    </w:p>
    <w:p>
      <w:pPr>
        <w:autoSpaceDE w:val="0"/>
        <w:autoSpaceDN w:val="0"/>
        <w:adjustRightInd w:val="0"/>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四、财政拨款“三公”经费预算情况及增减变化原因</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我部门财政拨款“三公”经费预算安排50.7万元，其中因公出国（境）费0万元；公务用车购置及运维费45.8万元（其中：公务用车购置费为0万元，公务用车运维费45.8万元)；公务接待费4.9万元。与2020年相比持平。</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五、预算绩效信息 </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bookmarkStart w:id="0" w:name="_Toc471398463"/>
      <w:r>
        <w:rPr>
          <w:rFonts w:hint="default" w:ascii="Times New Roman" w:hAnsi="Times New Roman" w:eastAsia="方正仿宋_GBK" w:cs="Times New Roman"/>
          <w:sz w:val="32"/>
          <w:szCs w:val="32"/>
        </w:rPr>
        <w:t>第一部分 部门整体绩效目标</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（一）总体绩效目标</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以习近平新时代中国特色社会主义思想为指导，深入学习贯彻党的十九届五中全会和省委九届十二次全会精神，2021年我中心继续坚持福彩“扶老、助残、救孤、济困”的发行宗旨，贯彻实施《彩票管理条例》和《彩票管理条例实施细则》，强化全省福利彩票发行销售的计划组织、技术保障、市场开发、渠道建设、营销宣传、开奖兑奖、人才队伍建设、公益品牌形象建设、财务管理等工作，确保全省福彩发行销售安全运行、健康发展，树立福利彩票良好的社会形象。2021年力争完成37.8亿元福利彩票销售目标，筹集省本级公益金2.26亿元。</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（二）分项绩效目标</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建立完善科学规范的彩票销售渠道</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目标：依据国务院《彩票管理条例》及相关政策规定，进一步建立完善的专业服务保障机制，保证即开票销售系统的安全运行；加强全省彩票销售核心系统和销售网点正常联网；保证福利彩票电视开奖全年正常播出，中奖信息发布及时、准确；增加彩票销售终端设备和全省视频会议系统，满足需要，强化福彩销售管理；加强对全省销售网点在用投注机和快开游戏辅助设备的维护，保证彩票销售业务的正常开展；保障彩票销售与管理所需的人力资源，促进各项工作计划的完成。</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指标：彩票销售系统正常运转率达到99%以上；正常联网线路比率超过95%；中奖信息发布准确率达到95%以上；中奖信息播报及时率达到95%以上；设备购置验收通过率达到100%；终端设备维保达标率在90%以上；购买人力资源服务支出的准确性达到100%。</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建立安全、稳定的彩票销售系统</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绩效目标：建立完善的销售系统保障机制，及时准确完成销售数据传输及统计工作，保证彩票销售工作安全运行；增加网络安全设备，提高系统网络和数据安全。</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绩效指标：销售系统巡检次数达到12次；故障处理及时率达到100%；设备验收合格率达到99%。</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加大彩票市场开发、管理及推广力度</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目标：科学谋划营销宣传和市场推广模式，传播彩票品牌理念；加强市场营销技能推广，增强彩票从业人员营销能力；积极开展福利彩票促销活动，力争实现年度销售目标；强化对销售网点的服务，及时满足销售网点需求，增加网点和彩民满意度。</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绩效指标：信息发布准确率达到9</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%以上；信息发布按时完成率达到90%以上；即开型福利彩票配送及时率达到99%以上；热敏纸验收合格率达到95%以上。</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加强福彩公益品牌形象建设</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绩效目标：积极开展福彩公益活动，提升福利彩票社会形象。</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绩效指标：资助困难学生1200人；资助困难个人2000人；符合资助条件率达到100%。</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提升综合治理水平</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绩效目标：加强福利彩票形象建设和市场管理，增强抵御市场风险的能力；严格按照彩票游戏规则和相关规定，及时准确归集、分配、解缴彩票资金。</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绩效指标：年度网点日常巡查率达到90%以上；站点形象建设达标率稳定在95%以上；年度销售目标完成率达到100%；彩票资金归集、分配、解缴的准确率达到100%。</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（三）工作保障措施</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强化安全管理。加强财务管理力度，狠抓内部控制；优化政府采购流程，提升采购工作效率；加强资产管理，促进国有资产保值增值；提升技术保障水平，保证销售系统安全运行。</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加强预算资金管理。认真执行各项管理制度，严格履行审批程序，依法依规依程序办事；强化预算资金使用的计划性，加强对预算绩效运行和支出进度的监控和考核，不断提升预算绩效管理水平。</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做好预算绩效自评。做好预算绩效自评和重点评价工作，将预算绩效评价结果纳入考核体系，强化预算绩效评价结果的激励、约束作用。对评价中发现的问题及时进行整改，不断调整优化支出结构。</w:t>
      </w:r>
    </w:p>
    <w:p>
      <w:pPr>
        <w:autoSpaceDE w:val="0"/>
        <w:autoSpaceDN w:val="0"/>
        <w:adjustRightInd w:val="0"/>
        <w:ind w:left="198"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加强内部监督。严格按照《内部控制制度》要求，对绩效运行情况、重大支出决策、资产处置及其他重要经济业务事项的决策和执行进行督导并贯彻落实。通过加强内部审计和配合做好外部审计等监督工作，确保财政资金的使用安全有效。</w:t>
      </w:r>
    </w:p>
    <w:p>
      <w:pPr>
        <w:ind w:firstLine="645"/>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第二部分  预算项目绩效目标：</w:t>
      </w: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 xml:space="preserve"> 1、</w:t>
      </w:r>
      <w:r>
        <w:rPr>
          <w:rFonts w:hint="default" w:ascii="Times New Roman" w:hAnsi="Times New Roman" w:eastAsia="方正仿宋_GBK" w:cs="Times New Roman"/>
          <w:b/>
          <w:sz w:val="32"/>
          <w:szCs w:val="32"/>
        </w:rPr>
        <w:t>即开型福利彩票物流管理项目绩效目标表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1.通过开展此项目，保证全省即开型福利彩票的安全和及时配送，保障即开型福利彩票销售网点的正常销售。</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运送次数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合同周期内运送即开型福利彩票的次数</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≥12次</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保存完好率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所保管即开型福利彩票的完好量占保存的全部即开型福利彩票的比率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≥98%</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配送及时率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按要求配送的数量占配送数量的比率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≥99%</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配送成本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每一次配送成本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≤29200元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保障能力</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通过配送保障销售网点对即开票的需求</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保障能力得到有效提升</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各市福彩中心满意度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各市福彩中心满意数占全部调查市福彩中心的比率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调查问卷</w:t>
            </w:r>
          </w:p>
        </w:tc>
      </w:tr>
    </w:tbl>
    <w:p>
      <w:pPr>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b/>
          <w:sz w:val="32"/>
          <w:szCs w:val="32"/>
        </w:rPr>
        <w:t>技术服务项目绩效目标表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1.通</w:t>
            </w:r>
            <w:r>
              <w:rPr>
                <w:rFonts w:hint="default" w:ascii="Times New Roman" w:hAnsi="Times New Roman" w:eastAsia="方正书宋_GBK" w:cs="Times New Roman"/>
                <w:lang w:eastAsia="zh-CN"/>
              </w:rPr>
              <w:t>过</w:t>
            </w:r>
            <w:r>
              <w:rPr>
                <w:rFonts w:hint="default" w:ascii="Times New Roman" w:hAnsi="Times New Roman" w:eastAsia="方正书宋_GBK" w:cs="Times New Roman"/>
              </w:rPr>
              <w:t>技术维护项目，保障即开票销售系统和即开票销售系统硬件设备安全正常运行</w:t>
            </w:r>
          </w:p>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2.通过租用专用通信线路，保障全省彩票销售核心系统和销售网点正常联网，以保证彩票销售业务的顺利进行</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系统巡检次数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对系统运行情况进行定期巡检</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≥12次</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系统正常运转率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系统正常运转的天数占系统运转天数的比率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≥99%</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正常联网线路比率（%）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正常联网无故障发生的线路占总线路的比率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&gt;95%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故障处理及时率（%）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及时处理的故障数量占总处理数量的比率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100%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即开票销售系统</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对即开票销售系统软硬件及终端设备提供技术维护服务。</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≤330万元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租用专用通信线路费用</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租用通信公司网络线路用于省中心及站点联网销售彩票业务</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≤830万元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可持续性影响指标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技术服务年限</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即开票技术服务及租用网络线路年限</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1年</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销售网点满意度(%)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销售系统数据稳定性调查满意的销售网点占全部调查网点的比率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调查问卷</w:t>
            </w:r>
          </w:p>
        </w:tc>
      </w:tr>
    </w:tbl>
    <w:p>
      <w:pPr>
        <w:ind w:firstLine="560"/>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b/>
          <w:sz w:val="32"/>
          <w:szCs w:val="32"/>
        </w:rPr>
        <w:t>彩票市场调控资金项目（中央提前下达）绩效目标表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 xml:space="preserve">1.支持基层彩票销售网点发展，提高彩票销量，筹集更多公益金 </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彩票销售额</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促销期间彩票销售额环比增长率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彩票销售网点数量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彩票销售网点数量与上年数量的比率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彩票品种数量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彩票品种数量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〔4，5〕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促销期间销量同比增长率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促销期间销量同比增长率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在规定时间内完成促销</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按时开展促销活动，完成促销目标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100%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彩票促销活动成本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促销资金不超出促销计划资金数额</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≤100%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彩票公益金筹集量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促销期间筹集公益金环比增长率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彩票公益属性和社会责任宣传力度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国家彩票公益属性和社会责任宣传力度</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逐步提升</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逐步提升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彩民满意度</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历史数据</w:t>
            </w:r>
          </w:p>
        </w:tc>
      </w:tr>
    </w:tbl>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b/>
          <w:sz w:val="32"/>
          <w:szCs w:val="32"/>
        </w:rPr>
        <w:t>福利彩票销售渠道建设项目绩效目标表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1.通过购置新投注设备及站点硬件建设，保障全省销售正常运行</w:t>
            </w:r>
          </w:p>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2.通过建立全省视频会议系统，保障网络工作会议顺利开展。</w:t>
            </w:r>
          </w:p>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3.通过全面加强河北福彩社会化兼营渠道建设，建立多样化销售渠道，促进我省福利彩票市场持续、健康、安全发展。</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建设投注站旗舰店</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建设投注站旗舰示范店</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≤10个</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新建站走势图</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为新建站配发号码走势图</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≤300套</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购置兼营销售设备</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购置兼营销售设备数量</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≤500台</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购置投注机数量</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购置投注机数量</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≤1001台</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购置会议终端</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购置会议终端</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1套</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布设站点完成率</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完成布设站点数量占计划布设数量的比率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使用故障率</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故障数占供应量的比率。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≤5%</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购置验收通过率(%)</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购置验收合格的数量占购置数量的比率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100%</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兼营渠道站点设备正常运行达标率</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兼营渠道站点设备全年正常运行数量占全部站点数量的比例</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发放到位时间</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兼营销售设备发货到位时间</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按合同约定</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兼营渠道站点设备故障处理时效率</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兼营渠道设备出现故障及时有效处理占全部故障总数的比例</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购置会议终端验收时间</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验收时间</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上半年</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兼营渠道建设成本控制率</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实际支出成本占计划成本的比率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≤100%</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平均成本</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建设投注站旗舰店平均成本</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≤40000元</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走势图成本</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为新建站配备号码走势图的平均成本</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≤1040元/套</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平均成本</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购置兼营销售设备的平均成本</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≤6000元</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平均成本</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购置投注机终端设备的平均成本</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≤15000元</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购置会议终端成本</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购置会议终端成本</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≤70万元</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经济效益指标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销售目标完成率</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完成销售额占当年预计销售额比率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≥80%</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彩民满意度</w:t>
            </w:r>
          </w:p>
        </w:tc>
        <w:tc>
          <w:tcPr>
            <w:tcW w:w="289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彩民满意或较为满意人数占所调查彩民人数的比率</w:t>
            </w:r>
          </w:p>
        </w:tc>
        <w:tc>
          <w:tcPr>
            <w:tcW w:w="1276"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≥85%</w:t>
            </w:r>
          </w:p>
        </w:tc>
        <w:tc>
          <w:tcPr>
            <w:tcW w:w="1701"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调查问卷</w:t>
            </w:r>
          </w:p>
        </w:tc>
      </w:tr>
    </w:tbl>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b/>
          <w:sz w:val="32"/>
          <w:szCs w:val="32"/>
        </w:rPr>
        <w:t>市场宣传、推广及营销项目绩效目标表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1.通过整合各项宣传资源，借助电视、广播、网络、微信、报刊、户外广告等方式，传播福彩品牌理念,提升社会认同度和参与度。</w:t>
            </w:r>
          </w:p>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2.通过组织“走近双色球”及“走近刮刮乐”活动，使彩民感受浓厚的彩票文化氛围，提高福彩的认知度。</w:t>
            </w:r>
          </w:p>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3.通过开展福利彩票精准市场营销技能推广活动，使福彩销售网点销售员业务技能得到提升。</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发布信息数量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报社、官方网站、公众号发布信息数量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≥610条</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刊印周刊数量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出版发行《福彩周刊》数量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≥45期</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发布音频、视频广告的次数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通过电台、电视台播出广播、电视宣传片的次数</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≥800次</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宣传平台数量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户外广告、网站广告宣传平台数量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≥7个</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全年完成线上营销活动的数量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全年完成线上营销活动的数量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≥8个</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印刷品数量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实际采购印刷品数量占计划采购数量的比率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全年活动次数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全年进行技能推广和座谈会次数</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≤6次</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“走近刮刮乐”、“走近双色球”活动次数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年度活动开展次数</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按中彩中心审批次数执行</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按中彩中心审批次数执行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印刷品质量合格率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合格印刷品数量占所有印刷品数量的比率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技能推广效果</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技能推广的站点抽查合格率。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走近刮刮乐、走近双色球完成情况</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按中彩中心活动要求完成</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中彩中心活动要求</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中彩中心活动要求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发布信息准确率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通过报社、官方网站、公众号、户外广告、网站广告、报刊、电视台、电台准确发布的信息数量占全部信息的比率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户外广告区域覆盖率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是否在合同规定区域内全部覆盖</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线上营销活动流程完整率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线上营销活动流程完整的活动占全部线上营销活动的比率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信息发布按时完成率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通过报社、官方网站、公众号、户外广告、网站广告、报刊、电视台、电台按计划时间发布的信息数量占全部信息数量的比率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活动按计划时间完成</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活动在计划的时间内完成</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活动按计划时间完成</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线上营销活动按计划时间完成</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线上营销活动在计划的时间内完成</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活动按计划时间完成</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技能推广计划按期完成率（%）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实际完成次数占计划总次数的比率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印刷品制作按计划时间完成</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印刷品的制作按计划时间完成</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活动按计划时间完成</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每周一刊印《福彩周刊》</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按时刊印的周刊数量占全年刊印周刊数量的比率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报社宣传成本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报社、报刊宣传成本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≤594.4万元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广播、电视广告成本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广播、电视广告、宣传片制作投放成本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≤205万元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户外、网站广告成本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户外广告、网站广告成本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≤410万元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微信、营销宣传系统成本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河北福彩微信、营销宣传系统运营成本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≤110万元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印刷品成本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海报、折页、投注卡、春节大礼包成本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≤310万元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技能推广活动费用</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技能推广活动总费用</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≤51万元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走近刮刮乐、走近双色球活动费用</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参加活动人员总费用</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≤36.15万元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经济效益指标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提高销售技能，掌握市场动态</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通过对游戏活动的介绍推广，各种游戏玩法的介绍，不断增强彩民对福利彩票游戏的了解，促进购买，增加销量。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有效提升</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参加活动学员业务提升情况</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活动内容对学员实际工作上的提升效果</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有效提升</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提升河北福彩品牌效应</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提升福利彩票的公益性、责任性，进行品牌推广和形象建设</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有效提升</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营销宣传系统客户端用户满意度(%)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营销宣传系统客户端用户的满意数占调查用户总数的比率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参与活动人员满意度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参与人员中满意人数占活动调查总人数的比率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调查问卷</w:t>
            </w:r>
          </w:p>
        </w:tc>
      </w:tr>
    </w:tbl>
    <w:p>
      <w:pPr>
        <w:ind w:firstLine="560"/>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b/>
          <w:sz w:val="32"/>
          <w:szCs w:val="32"/>
        </w:rPr>
        <w:t>福利彩票销售系统维保项目绩效目标表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1.通过对福彩销售系统维护，保障福利彩票机房硬件设备(系统设备、安全接入设备、UPS、空调)安全正常运行。</w:t>
            </w:r>
          </w:p>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2.通过对福彩销售系统维护，保障电脑票销售系统及辅助系统的安全正常运行。</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系统巡检次数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对系统运行情况进行定期巡检</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12次</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硬件维护数量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系统设备、安全接入设备维护数量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≥35台</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软件维护数量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销售系统软件维护数量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≥3套</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维护防火监测装置数量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维护防火监测装置正常运行数量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≥190个</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采购设备验收合格率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年均设备验收合格的数量占采购总数量的比率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≥99%</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系统故障发生率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因保障不力造成系统发生故障时间占运行总时间的比率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防火监测装置故障率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设备出现故障时间占全年运行总时间的比率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故障处理及时率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及时处理故障数占总处理数的比率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100%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销售系统维保成本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销售系统维保成本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≤496.3万元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单套防火监测装置费用支出</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单套设备费用支出</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≤430元/年</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销售网点终端设备正常销售</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对销售终端设备维保，机房环境维护检测，保障销售网点正常销售</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正常销售</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销售网点满意度(%)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调查中满意的销售网点占全部调查网点的比率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调查问卷</w:t>
            </w:r>
          </w:p>
        </w:tc>
      </w:tr>
    </w:tbl>
    <w:p>
      <w:pPr>
        <w:ind w:firstLine="560"/>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7、</w:t>
      </w:r>
      <w:r>
        <w:rPr>
          <w:rFonts w:hint="default" w:ascii="Times New Roman" w:hAnsi="Times New Roman" w:eastAsia="方正仿宋_GBK" w:cs="Times New Roman"/>
          <w:b/>
          <w:sz w:val="32"/>
          <w:szCs w:val="32"/>
        </w:rPr>
        <w:t>福利彩票促销项目绩效目标表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1.通过开展促销活动，打造福利彩票品牌形象，提升民众对福利彩票的关注度，增加福彩销量，为我省福利彩票公益金的筹集起到积极的作用。</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促销活动次数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年度促销活动的开展次数</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≥5次</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 xml:space="preserve">年度计划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销量目标完成率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促销活动的预计销量的完成率(%)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促销活动按时完成率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促销活动实际完成时间与计划完成时间的比率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促销品成本费用</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促销成本费用</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≤954万元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经济效益指标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销售目标完成率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即开型福利彩票销售额与当年预计销售额的比率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有所提升</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lang w:eastAsia="zh-CN"/>
              </w:rPr>
            </w:pPr>
            <w:r>
              <w:rPr>
                <w:rFonts w:hint="default" w:ascii="Times New Roman" w:hAnsi="Times New Roman" w:eastAsia="方正书宋_GBK" w:cs="Times New Roman"/>
                <w:lang w:eastAsia="zh-CN"/>
              </w:rPr>
              <w:t>彩民满意度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彩民对促销活动满意的人数占调查彩民人数的比率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4"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销售网点满意度（%）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销售网点对促销活动满意的数量占调查总网点的比率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调查问卷</w:t>
            </w:r>
          </w:p>
        </w:tc>
      </w:tr>
    </w:tbl>
    <w:p>
      <w:pPr>
        <w:ind w:firstLine="560"/>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8、</w:t>
      </w:r>
      <w:r>
        <w:rPr>
          <w:rFonts w:hint="default" w:ascii="Times New Roman" w:hAnsi="Times New Roman" w:eastAsia="方正仿宋_GBK" w:cs="Times New Roman"/>
          <w:b/>
          <w:sz w:val="32"/>
          <w:szCs w:val="32"/>
        </w:rPr>
        <w:t>福利彩票开奖项目绩效目标表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1.通过与电视台合作共同组织开展电脑型福利彩票的电视开奖工作，保证福利彩票电视开奖全年正常播出。</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开奖节目完成天数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按规定的销售天数播出</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财政部规定</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中奖信息发布准确率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中奖信息发布准确数占发布的全部中奖信息的比率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中奖信息播报及时率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中奖信息在规定时间内播报占当年播报次数的比率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招标采购时间</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招标采购合同签订时间</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上半年</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节目制作费用</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本年度费用</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≤258万元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提高福彩公开透明度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提高福彩公开透明度</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有效提高</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可持续性影响指标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提高福彩公信力</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提高福彩公信力</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有效提高</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彩民满意度调查</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彩民满意或较为满意人数占所调查彩民人数的比率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调查问卷</w:t>
            </w:r>
          </w:p>
        </w:tc>
      </w:tr>
    </w:tbl>
    <w:p>
      <w:pPr>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9、</w:t>
      </w:r>
      <w:r>
        <w:rPr>
          <w:rFonts w:hint="default" w:ascii="Times New Roman" w:hAnsi="Times New Roman" w:eastAsia="方正仿宋_GBK" w:cs="Times New Roman"/>
          <w:b/>
          <w:sz w:val="32"/>
          <w:szCs w:val="32"/>
        </w:rPr>
        <w:t>福彩公益金项目绩效目标表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1.通过资助部分困难学生顺利入学，使他们获得学习和深造的机会。</w:t>
            </w:r>
          </w:p>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2.通过资助部分困难群体温暖过冬，在一定程度上缓解他们生活上的困难。</w:t>
            </w:r>
          </w:p>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3.通过资助活动，树立福利彩票良好的社会形象，促进福利彩票事业健康发展。</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资助困难学生人数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资助困难学生人数</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1200人</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资助困难群体人数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资助困难群体人数</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2000人</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符合资助条件率（%）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资助金发放符合条件人数占发放总人数的比例</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100%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资助困难学生的资助金发放时间</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资助困难学生的资助金发放时间</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学生开学前</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资助困难群体的资助金发放时间</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资助困难群体的资助金发放时间</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取暖季开始前</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困难学生资助标准</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困难学生资助标准</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5000元/人</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困难群体资助标准</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困难群体资助标准</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1000元/人</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品牌形象</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社会反响较好，充分认可福彩的公益性</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福彩的品牌形象得到提升</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受助群体满意度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受助人员满意人数占全部受助人员的比率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调查问卷</w:t>
            </w:r>
          </w:p>
        </w:tc>
      </w:tr>
    </w:tbl>
    <w:p>
      <w:pPr>
        <w:ind w:firstLine="560"/>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10、</w:t>
      </w:r>
      <w:r>
        <w:rPr>
          <w:rFonts w:hint="default" w:ascii="Times New Roman" w:hAnsi="Times New Roman" w:eastAsia="方正仿宋_GBK" w:cs="Times New Roman"/>
          <w:b/>
          <w:sz w:val="32"/>
          <w:szCs w:val="32"/>
        </w:rPr>
        <w:t>终端设备维保项目绩效目标表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1.通过对全省在用的投注机和快开游戏开奖辅助设备的维护维修，保证电脑票销售工作的正常开展</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终端设备维保数量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维保的在用投注机和快开游戏辅助设备数量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≤13346部</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 xml:space="preserve">终端设备维保达标率(％) </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正常使用的数量占在用数量的比率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故障处理及时率(％)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及时处理故障数占总处理数的比率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招标采购时间</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招标采购时间</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合同约定</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投注机设备维保成本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每部设备年维保成本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≤762元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快开游戏开奖辅助设备维保成本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每部设备月维保成本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≤25元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可持续性影响指标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保障网点持续销售率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正常销售终端机占在保终端机的比率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网点满意度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调查中满意的销售网点占全部调查网点的比率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调查问卷</w:t>
            </w:r>
          </w:p>
        </w:tc>
      </w:tr>
    </w:tbl>
    <w:p>
      <w:pPr>
        <w:ind w:firstLine="560"/>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11、</w:t>
      </w:r>
      <w:r>
        <w:rPr>
          <w:rFonts w:hint="default" w:ascii="Times New Roman" w:hAnsi="Times New Roman" w:eastAsia="方正仿宋_GBK" w:cs="Times New Roman"/>
          <w:b/>
          <w:sz w:val="32"/>
          <w:szCs w:val="32"/>
        </w:rPr>
        <w:t>彩票销售投注机专用热敏纸项目绩效目标表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1.通过购置全省电脑票销售所需热敏纸，满足全省电脑票正常销售需求。</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购置数量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购置的电脑票热敏纸数量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≥14.5万卷</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验收合格率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通过验收的购置数量占购置数量的比率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热敏纸使用故障率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故障数占供应量的比率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发放到位时间</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热敏纸发送到位时间</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每次申请十天内</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平均成本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电脑票热敏纸每卷平均成本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≤31元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经济效益指标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销售目标完成率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电脑型福利彩票销售额与当年预计销售额的比率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筹集公益金涨幅比率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筹集公益金金额与当年预计筹集公益金金额的比率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可持续性影响指标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福彩市场占有率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市场占有率与当年预计市场占有率的比率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投注站站点满意度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投注站满意和较满意数占调查总站点的比率。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调查问卷</w:t>
            </w:r>
          </w:p>
        </w:tc>
      </w:tr>
    </w:tbl>
    <w:p>
      <w:pPr>
        <w:ind w:firstLine="560"/>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12、</w:t>
      </w:r>
      <w:r>
        <w:rPr>
          <w:rFonts w:hint="default" w:ascii="Times New Roman" w:hAnsi="Times New Roman" w:eastAsia="方正仿宋_GBK" w:cs="Times New Roman"/>
          <w:b/>
          <w:sz w:val="28"/>
        </w:rPr>
        <w:t>购买彩票销售与管理人力资源服务支出</w:t>
      </w:r>
      <w:r>
        <w:rPr>
          <w:rFonts w:hint="default" w:ascii="Times New Roman" w:hAnsi="Times New Roman" w:eastAsia="方正仿宋_GBK" w:cs="Times New Roman"/>
          <w:b/>
          <w:sz w:val="32"/>
          <w:szCs w:val="32"/>
        </w:rPr>
        <w:t>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通过购买彩票销售与管理人力资源服务支出，保证福利彩票销售渠道和销售系统建设、营销宣传、人才队伍建设、资金归集结算等职责的完成。</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服务人数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购买人力资源服务人数</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≤63人</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工资发放、社保缴纳的准确性</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工资薪酬等发放、社会保险缴纳数据的准确性</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100%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工资发放、社保缴纳的及时性</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工资薪酬按合同约定发放、社会保险按合同约定缴纳的时效情况</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按合同约定时间发放</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人均月工资</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人均月工资成本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≤5500元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各项工作正常开展</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建立合理的用工制度，保障彩票业务开展所需人才，保证各项工作的正常开展</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各项工工作正常开展</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可持续性影响指标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持续服务率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重点岗位持续服务5年以上的人数占重点岗位服务总人数的比率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服务人员满意度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服务人员对薪酬、社保发放工作满意人数占全部调查人数的比率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调查问卷</w:t>
            </w:r>
          </w:p>
        </w:tc>
      </w:tr>
    </w:tbl>
    <w:p>
      <w:pPr>
        <w:ind w:firstLine="560"/>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福利彩票销售渠道建设</w:t>
      </w:r>
      <w:r>
        <w:rPr>
          <w:rFonts w:hint="default" w:ascii="Times New Roman" w:hAnsi="Times New Roman" w:eastAsia="方正仿宋_GBK" w:cs="Times New Roman"/>
          <w:b/>
          <w:sz w:val="32"/>
          <w:szCs w:val="32"/>
          <w:lang w:eastAsia="zh-CN"/>
        </w:rPr>
        <w:t>项目</w:t>
      </w:r>
      <w:r>
        <w:rPr>
          <w:rFonts w:hint="eastAsia" w:ascii="Times New Roman" w:hAnsi="Times New Roman" w:eastAsia="方正仿宋_GBK" w:cs="Times New Roman"/>
          <w:b/>
          <w:sz w:val="32"/>
          <w:szCs w:val="32"/>
          <w:lang w:eastAsia="zh-CN"/>
        </w:rPr>
        <w:t>（结转资金）</w:t>
      </w:r>
      <w:r>
        <w:rPr>
          <w:rFonts w:hint="default" w:ascii="Times New Roman" w:hAnsi="Times New Roman" w:eastAsia="方正仿宋_GBK" w:cs="Times New Roman"/>
          <w:b/>
          <w:sz w:val="32"/>
          <w:szCs w:val="32"/>
        </w:rPr>
        <w:t>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通过购置新投注机设备，保障全省销售正常运行</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购置新投注机数量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购置新投注机数量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=1774台</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left"/>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购置验收通过率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购置验收合格的数量占购置数量的比率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100%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left"/>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发放到位时间</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按合同约定新投注机设备发货到位时间</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按合同约定</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left"/>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平均成本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购置投注机终端设备的平均成本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≤15000元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eastAsia="zh-CN"/>
              </w:rPr>
              <w:t>经济</w:t>
            </w:r>
            <w:r>
              <w:rPr>
                <w:rFonts w:hint="default" w:ascii="Times New Roman" w:hAnsi="Times New Roman" w:eastAsia="方正书宋_GBK" w:cs="Times New Roman"/>
              </w:rPr>
              <w:t>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销售目标完成率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完成销售额占当年预计销售额比率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≥80%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left"/>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可持续性影响指标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设备使用年限</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设备可使用年限</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≥6年</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彩民满意度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彩民满意或较为满意人数占所调查彩民人数的比率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≥85%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调查问卷</w:t>
            </w:r>
          </w:p>
        </w:tc>
      </w:tr>
    </w:tbl>
    <w:p>
      <w:pPr>
        <w:ind w:firstLine="560"/>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福利彩票销售渠道建设</w:t>
      </w:r>
      <w:r>
        <w:rPr>
          <w:rFonts w:hint="default" w:ascii="Times New Roman" w:hAnsi="Times New Roman" w:eastAsia="方正仿宋_GBK" w:cs="Times New Roman"/>
          <w:b/>
          <w:sz w:val="32"/>
          <w:szCs w:val="32"/>
          <w:lang w:eastAsia="zh-CN"/>
        </w:rPr>
        <w:t>项目</w:t>
      </w:r>
      <w:r>
        <w:rPr>
          <w:rFonts w:hint="eastAsia" w:ascii="Times New Roman" w:hAnsi="Times New Roman" w:eastAsia="方正仿宋_GBK" w:cs="Times New Roman"/>
          <w:b/>
          <w:sz w:val="32"/>
          <w:szCs w:val="32"/>
          <w:lang w:eastAsia="zh-CN"/>
        </w:rPr>
        <w:t>（结转资金）</w:t>
      </w:r>
      <w:r>
        <w:rPr>
          <w:rFonts w:hint="default" w:ascii="Times New Roman" w:hAnsi="Times New Roman" w:eastAsia="方正仿宋_GBK" w:cs="Times New Roman"/>
          <w:b/>
          <w:sz w:val="32"/>
          <w:szCs w:val="32"/>
        </w:rPr>
        <w:t>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通过购置新投注机设备，保障全省销售正常运行</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购置新投注机数量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购置新投注机数量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=90台</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left"/>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购置验收通过率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购置验收合格的数量占购置数量的比率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w:t>
            </w:r>
            <w:r>
              <w:rPr>
                <w:rFonts w:hint="default" w:ascii="Times New Roman" w:hAnsi="Times New Roman" w:eastAsia="方正书宋_GBK" w:cs="Times New Roman"/>
              </w:rPr>
              <w:t>100%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left"/>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发放到位时间</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按合同约定新投注机设备发货到位时间</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按合同约定</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left"/>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平均成本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购置投注机终端设备的平均成本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≤15000元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eastAsia="zh-CN"/>
              </w:rPr>
              <w:t>经济</w:t>
            </w:r>
            <w:r>
              <w:rPr>
                <w:rFonts w:hint="default" w:ascii="Times New Roman" w:hAnsi="Times New Roman" w:eastAsia="方正书宋_GBK" w:cs="Times New Roman"/>
              </w:rPr>
              <w:t>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销售目标完成率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完成销售额占当年预计销售额比率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≥80%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left"/>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可持续性影响指标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设备使用年限</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设备可使用年限</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≥6年</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彩民满意度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彩民满意或较为满意人数占所调查彩民人数的比率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≥85%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调查问卷</w:t>
            </w:r>
          </w:p>
        </w:tc>
      </w:tr>
    </w:tbl>
    <w:p>
      <w:pPr>
        <w:spacing w:line="300" w:lineRule="exact"/>
        <w:jc w:val="center"/>
        <w:rPr>
          <w:rFonts w:hint="default" w:ascii="Times New Roman" w:hAnsi="Times New Roman" w:eastAsia="方正书宋_GBK" w:cs="Times New Roman"/>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lang w:eastAsia="zh-CN"/>
        </w:rPr>
        <w:t>福</w:t>
      </w:r>
      <w:r>
        <w:rPr>
          <w:rFonts w:hint="default" w:ascii="Times New Roman" w:hAnsi="Times New Roman" w:eastAsia="方正仿宋_GBK" w:cs="Times New Roman"/>
          <w:b/>
          <w:sz w:val="32"/>
          <w:szCs w:val="32"/>
        </w:rPr>
        <w:t>利彩票销售系统维保项目</w:t>
      </w:r>
      <w:r>
        <w:rPr>
          <w:rFonts w:hint="eastAsia" w:ascii="Times New Roman" w:hAnsi="Times New Roman" w:eastAsia="方正仿宋_GBK" w:cs="Times New Roman"/>
          <w:b/>
          <w:sz w:val="32"/>
          <w:szCs w:val="32"/>
          <w:lang w:eastAsia="zh-CN"/>
        </w:rPr>
        <w:t>（结转资金）</w:t>
      </w:r>
      <w:r>
        <w:rPr>
          <w:rFonts w:hint="default" w:ascii="Times New Roman" w:hAnsi="Times New Roman" w:eastAsia="方正仿宋_GBK" w:cs="Times New Roman"/>
          <w:b/>
          <w:sz w:val="32"/>
          <w:szCs w:val="32"/>
        </w:rPr>
        <w:t>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 xml:space="preserve">通过对福彩销售系统维护，保障福利彩票机房硬件设备(系统设备、安全接入设备、UPS、空调)安全正常运行。  </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系统巡检次数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对系统运行情况进行定期巡检</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=12次</w:t>
            </w:r>
          </w:p>
        </w:tc>
        <w:tc>
          <w:tcPr>
            <w:tcW w:w="1701" w:type="dxa"/>
            <w:shd w:val="clear" w:color="auto" w:fill="auto"/>
            <w:vAlign w:val="center"/>
          </w:tcPr>
          <w:p>
            <w:pPr>
              <w:spacing w:line="300" w:lineRule="exact"/>
              <w:jc w:val="left"/>
              <w:rPr>
                <w:rFonts w:hint="default" w:ascii="Times New Roman" w:hAnsi="Times New Roman" w:eastAsia="方正书宋_GBK" w:cs="Times New Roman"/>
                <w:lang w:val="en-US" w:eastAsia="zh-C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系统故障发生率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因保障不力造成系统发生故障时间占运行总时间的比率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≤1%</w:t>
            </w:r>
          </w:p>
        </w:tc>
        <w:tc>
          <w:tcPr>
            <w:tcW w:w="1701" w:type="dxa"/>
            <w:shd w:val="clear" w:color="auto" w:fill="auto"/>
            <w:vAlign w:val="center"/>
          </w:tcPr>
          <w:p>
            <w:pPr>
              <w:spacing w:line="300" w:lineRule="exact"/>
              <w:jc w:val="left"/>
              <w:rPr>
                <w:rFonts w:hint="default" w:ascii="Times New Roman" w:hAnsi="Times New Roman" w:eastAsia="方正书宋_GBK" w:cs="Times New Roman"/>
                <w:lang w:val="en-US" w:eastAsia="zh-C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故障处理及时性</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及时处理故障数占总处理数的比率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=100%</w:t>
            </w:r>
          </w:p>
        </w:tc>
        <w:tc>
          <w:tcPr>
            <w:tcW w:w="1701" w:type="dxa"/>
            <w:shd w:val="clear" w:color="auto" w:fill="auto"/>
            <w:vAlign w:val="center"/>
          </w:tcPr>
          <w:p>
            <w:pPr>
              <w:spacing w:line="300" w:lineRule="exact"/>
              <w:jc w:val="left"/>
              <w:rPr>
                <w:rFonts w:hint="default" w:ascii="Times New Roman" w:hAnsi="Times New Roman" w:eastAsia="方正书宋_GBK" w:cs="Times New Roman"/>
                <w:lang w:val="en-US" w:eastAsia="zh-C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销售系统维保成本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销售系统维保成本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≤14.04万元</w:t>
            </w:r>
          </w:p>
        </w:tc>
        <w:tc>
          <w:tcPr>
            <w:tcW w:w="1701" w:type="dxa"/>
            <w:shd w:val="clear" w:color="auto" w:fill="auto"/>
            <w:vAlign w:val="center"/>
          </w:tcPr>
          <w:p>
            <w:pPr>
              <w:spacing w:line="300" w:lineRule="exact"/>
              <w:jc w:val="left"/>
              <w:rPr>
                <w:rFonts w:hint="default" w:ascii="Times New Roman" w:hAnsi="Times New Roman" w:eastAsia="方正书宋_GBK" w:cs="Times New Roman"/>
                <w:lang w:val="en-US" w:eastAsia="zh-C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销售网点正常销售</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对硬件设备维保，保障销售网点正常销售</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正常销售</w:t>
            </w:r>
          </w:p>
        </w:tc>
        <w:tc>
          <w:tcPr>
            <w:tcW w:w="1701" w:type="dxa"/>
            <w:shd w:val="clear" w:color="auto" w:fill="auto"/>
            <w:vAlign w:val="center"/>
          </w:tcPr>
          <w:p>
            <w:pPr>
              <w:spacing w:line="300" w:lineRule="exact"/>
              <w:jc w:val="left"/>
              <w:rPr>
                <w:rFonts w:hint="default" w:ascii="Times New Roman" w:hAnsi="Times New Roman" w:eastAsia="方正书宋_GBK" w:cs="Times New Roman"/>
                <w:lang w:val="en-US" w:eastAsia="zh-C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销售网点满意度(%)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调查中满意的销售网点占全部调查网点的比率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≥90%</w:t>
            </w:r>
          </w:p>
        </w:tc>
        <w:tc>
          <w:tcPr>
            <w:tcW w:w="1701" w:type="dxa"/>
            <w:shd w:val="clear" w:color="auto" w:fill="auto"/>
            <w:vAlign w:val="center"/>
          </w:tcPr>
          <w:p>
            <w:pPr>
              <w:spacing w:line="300" w:lineRule="exact"/>
              <w:jc w:val="left"/>
              <w:rPr>
                <w:rFonts w:hint="default" w:ascii="Times New Roman" w:hAnsi="Times New Roman" w:eastAsia="方正书宋_GBK" w:cs="Times New Roman"/>
                <w:lang w:val="en-US" w:eastAsia="zh-CN"/>
              </w:rPr>
            </w:pPr>
            <w:r>
              <w:rPr>
                <w:rFonts w:hint="default" w:ascii="Times New Roman" w:hAnsi="Times New Roman" w:eastAsia="方正书宋_GBK" w:cs="Times New Roman"/>
                <w:lang w:val="en-US" w:eastAsia="zh-CN"/>
              </w:rPr>
              <w:t>调查问卷</w:t>
            </w:r>
          </w:p>
        </w:tc>
      </w:tr>
    </w:tbl>
    <w:p>
      <w:pPr>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28"/>
        </w:rPr>
        <w:t>购买彩票销售与管理人力资源服务支出</w:t>
      </w:r>
      <w:r>
        <w:rPr>
          <w:rFonts w:hint="eastAsia" w:ascii="Times New Roman" w:hAnsi="Times New Roman" w:eastAsia="方正仿宋_GBK" w:cs="Times New Roman"/>
          <w:b/>
          <w:sz w:val="32"/>
          <w:szCs w:val="32"/>
          <w:lang w:eastAsia="zh-CN"/>
        </w:rPr>
        <w:t>（结转资金）</w:t>
      </w:r>
      <w:r>
        <w:rPr>
          <w:rFonts w:hint="default" w:ascii="Times New Roman" w:hAnsi="Times New Roman" w:eastAsia="方正仿宋_GBK" w:cs="Times New Roman"/>
          <w:b/>
          <w:sz w:val="32"/>
          <w:szCs w:val="32"/>
        </w:rPr>
        <w:t>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通过购买彩票销售与管理人力资源服务支出，保证福利彩票销售渠道和销售系统建设、营销宣传、人才队伍建设、资金归集结算等职责的完成。</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服务人数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购买人力资源服务人数</w:t>
            </w:r>
          </w:p>
        </w:tc>
        <w:tc>
          <w:tcPr>
            <w:tcW w:w="1276" w:type="dxa"/>
            <w:shd w:val="clear" w:color="auto" w:fill="auto"/>
            <w:vAlign w:val="top"/>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≤36人</w:t>
            </w:r>
          </w:p>
        </w:tc>
        <w:tc>
          <w:tcPr>
            <w:tcW w:w="1701" w:type="dxa"/>
            <w:shd w:val="clear" w:color="auto" w:fill="auto"/>
            <w:vAlign w:val="center"/>
          </w:tcPr>
          <w:p>
            <w:pPr>
              <w:keepNext w:val="0"/>
              <w:keepLines w:val="0"/>
              <w:widowControl/>
              <w:suppressLineNumbers w:val="0"/>
              <w:jc w:val="left"/>
              <w:textAlignment w:val="center"/>
              <w:rPr>
                <w:rFonts w:hint="default" w:ascii="Times New Roman" w:hAnsi="Times New Roman" w:eastAsia="方正书宋_GBK" w:cs="Times New Roman"/>
              </w:rPr>
            </w:pPr>
            <w:r>
              <w:rPr>
                <w:rFonts w:hint="default" w:ascii="Times New Roman" w:hAnsi="Times New Roman" w:eastAsia="宋体" w:cs="Times New Roman"/>
                <w:i w:val="0"/>
                <w:color w:val="000000"/>
                <w:kern w:val="0"/>
                <w:sz w:val="18"/>
                <w:szCs w:val="18"/>
                <w:u w:val="none"/>
                <w:lang w:val="en-US" w:eastAsia="zh-CN" w:bidi="ar"/>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工资发放、社保缴纳的准确性</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工资薪酬等发放、社会保险缴纳数据的准确性</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=100%</w:t>
            </w:r>
          </w:p>
        </w:tc>
        <w:tc>
          <w:tcPr>
            <w:tcW w:w="1701" w:type="dxa"/>
            <w:shd w:val="clear" w:color="auto" w:fill="auto"/>
            <w:vAlign w:val="center"/>
          </w:tcPr>
          <w:p>
            <w:pPr>
              <w:keepNext w:val="0"/>
              <w:keepLines w:val="0"/>
              <w:widowControl/>
              <w:suppressLineNumbers w:val="0"/>
              <w:jc w:val="left"/>
              <w:textAlignment w:val="center"/>
              <w:rPr>
                <w:rFonts w:hint="default" w:ascii="Times New Roman" w:hAnsi="Times New Roman" w:eastAsia="方正书宋_GBK" w:cs="Times New Roman"/>
              </w:rPr>
            </w:pPr>
            <w:r>
              <w:rPr>
                <w:rFonts w:hint="default" w:ascii="Times New Roman" w:hAnsi="Times New Roman" w:eastAsia="宋体" w:cs="Times New Roman"/>
                <w:i w:val="0"/>
                <w:color w:val="000000"/>
                <w:kern w:val="0"/>
                <w:sz w:val="18"/>
                <w:szCs w:val="18"/>
                <w:u w:val="none"/>
                <w:lang w:val="en-US" w:eastAsia="zh-CN" w:bidi="ar"/>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工资发放、社保缴纳的及时性</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工资薪酬按合同约定发放、社会保险按合同约定缴纳的时效情况</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按合同约定时间发放</w:t>
            </w:r>
          </w:p>
        </w:tc>
        <w:tc>
          <w:tcPr>
            <w:tcW w:w="1701" w:type="dxa"/>
            <w:shd w:val="clear" w:color="auto" w:fill="auto"/>
            <w:vAlign w:val="center"/>
          </w:tcPr>
          <w:p>
            <w:pPr>
              <w:keepNext w:val="0"/>
              <w:keepLines w:val="0"/>
              <w:widowControl/>
              <w:suppressLineNumbers w:val="0"/>
              <w:jc w:val="left"/>
              <w:textAlignment w:val="center"/>
              <w:rPr>
                <w:rFonts w:hint="default" w:ascii="Times New Roman" w:hAnsi="Times New Roman" w:eastAsia="方正书宋_GBK" w:cs="Times New Roman"/>
              </w:rPr>
            </w:pPr>
            <w:r>
              <w:rPr>
                <w:rFonts w:hint="default" w:ascii="Times New Roman" w:hAnsi="Times New Roman" w:eastAsia="宋体" w:cs="Times New Roman"/>
                <w:i w:val="0"/>
                <w:color w:val="000000"/>
                <w:kern w:val="0"/>
                <w:sz w:val="18"/>
                <w:szCs w:val="18"/>
                <w:u w:val="none"/>
                <w:lang w:val="en-US" w:eastAsia="zh-CN" w:bidi="ar"/>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人均月工资</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人均月工资成本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≤5500元</w:t>
            </w:r>
          </w:p>
        </w:tc>
        <w:tc>
          <w:tcPr>
            <w:tcW w:w="1701" w:type="dxa"/>
            <w:shd w:val="clear" w:color="auto" w:fill="auto"/>
            <w:vAlign w:val="center"/>
          </w:tcPr>
          <w:p>
            <w:pPr>
              <w:keepNext w:val="0"/>
              <w:keepLines w:val="0"/>
              <w:widowControl/>
              <w:suppressLineNumbers w:val="0"/>
              <w:jc w:val="left"/>
              <w:textAlignment w:val="center"/>
              <w:rPr>
                <w:rFonts w:hint="default" w:ascii="Times New Roman" w:hAnsi="Times New Roman" w:eastAsia="方正书宋_GBK" w:cs="Times New Roman"/>
              </w:rPr>
            </w:pPr>
            <w:r>
              <w:rPr>
                <w:rFonts w:hint="default" w:ascii="Times New Roman" w:hAnsi="Times New Roman" w:eastAsia="宋体" w:cs="Times New Roman"/>
                <w:i w:val="0"/>
                <w:color w:val="000000"/>
                <w:kern w:val="0"/>
                <w:sz w:val="18"/>
                <w:szCs w:val="18"/>
                <w:u w:val="none"/>
                <w:lang w:val="en-US" w:eastAsia="zh-CN" w:bidi="ar"/>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持续服务率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重点岗位持续服务5年以上的人数占重点岗位服务总人数的比率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各项工工作正常开展</w:t>
            </w:r>
          </w:p>
        </w:tc>
        <w:tc>
          <w:tcPr>
            <w:tcW w:w="1701" w:type="dxa"/>
            <w:shd w:val="clear" w:color="auto" w:fill="auto"/>
            <w:vAlign w:val="center"/>
          </w:tcPr>
          <w:p>
            <w:pPr>
              <w:keepNext w:val="0"/>
              <w:keepLines w:val="0"/>
              <w:widowControl/>
              <w:suppressLineNumbers w:val="0"/>
              <w:jc w:val="left"/>
              <w:textAlignment w:val="center"/>
              <w:rPr>
                <w:rFonts w:hint="default" w:ascii="Times New Roman" w:hAnsi="Times New Roman" w:eastAsia="方正书宋_GBK" w:cs="Times New Roman"/>
              </w:rPr>
            </w:pPr>
            <w:r>
              <w:rPr>
                <w:rFonts w:hint="default" w:ascii="Times New Roman" w:hAnsi="Times New Roman" w:eastAsia="宋体" w:cs="Times New Roman"/>
                <w:i w:val="0"/>
                <w:color w:val="000000"/>
                <w:kern w:val="0"/>
                <w:sz w:val="18"/>
                <w:szCs w:val="18"/>
                <w:u w:val="none"/>
                <w:lang w:val="en-US" w:eastAsia="zh-CN" w:bidi="ar"/>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可持续性影响指标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各项工作正常开展</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建立合理的用工制度，保障彩票业务开展所需人才，保证各项工作的正常开展</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≥85%</w:t>
            </w:r>
          </w:p>
        </w:tc>
        <w:tc>
          <w:tcPr>
            <w:tcW w:w="1701" w:type="dxa"/>
            <w:shd w:val="clear" w:color="auto" w:fill="auto"/>
            <w:vAlign w:val="center"/>
          </w:tcPr>
          <w:p>
            <w:pPr>
              <w:keepNext w:val="0"/>
              <w:keepLines w:val="0"/>
              <w:widowControl/>
              <w:suppressLineNumbers w:val="0"/>
              <w:jc w:val="left"/>
              <w:textAlignment w:val="center"/>
              <w:rPr>
                <w:rFonts w:hint="default" w:ascii="Times New Roman" w:hAnsi="Times New Roman" w:eastAsia="方正书宋_GBK" w:cs="Times New Roman"/>
              </w:rPr>
            </w:pPr>
            <w:r>
              <w:rPr>
                <w:rFonts w:hint="default" w:ascii="Times New Roman" w:hAnsi="Times New Roman" w:eastAsia="宋体" w:cs="Times New Roman"/>
                <w:i w:val="0"/>
                <w:color w:val="000000"/>
                <w:kern w:val="0"/>
                <w:sz w:val="18"/>
                <w:szCs w:val="18"/>
                <w:u w:val="none"/>
                <w:lang w:val="en-US" w:eastAsia="zh-CN" w:bidi="ar"/>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服务人员满意度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服务人员对薪酬、社保发放工作满意人数占全部调查人数的比率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≥85%</w:t>
            </w:r>
          </w:p>
        </w:tc>
        <w:tc>
          <w:tcPr>
            <w:tcW w:w="1701" w:type="dxa"/>
            <w:shd w:val="clear" w:color="auto" w:fill="auto"/>
            <w:vAlign w:val="center"/>
          </w:tcPr>
          <w:p>
            <w:pPr>
              <w:keepNext w:val="0"/>
              <w:keepLines w:val="0"/>
              <w:widowControl/>
              <w:suppressLineNumbers w:val="0"/>
              <w:jc w:val="left"/>
              <w:textAlignment w:val="center"/>
              <w:rPr>
                <w:rFonts w:hint="default" w:ascii="Times New Roman" w:hAnsi="Times New Roman" w:eastAsia="方正书宋_GBK" w:cs="Times New Roman"/>
              </w:rPr>
            </w:pPr>
            <w:r>
              <w:rPr>
                <w:rFonts w:hint="default" w:ascii="Times New Roman" w:hAnsi="Times New Roman" w:eastAsia="宋体" w:cs="Times New Roman"/>
                <w:i w:val="0"/>
                <w:color w:val="000000"/>
                <w:kern w:val="0"/>
                <w:sz w:val="18"/>
                <w:szCs w:val="18"/>
                <w:u w:val="none"/>
                <w:lang w:val="en-US" w:eastAsia="zh-CN" w:bidi="ar"/>
              </w:rPr>
              <w:t>调查问卷</w:t>
            </w:r>
          </w:p>
        </w:tc>
      </w:tr>
    </w:tbl>
    <w:p>
      <w:pPr>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28"/>
        </w:rPr>
        <w:t>技术服务项目</w:t>
      </w:r>
      <w:r>
        <w:rPr>
          <w:rFonts w:hint="eastAsia" w:ascii="Times New Roman" w:hAnsi="Times New Roman" w:eastAsia="方正仿宋_GBK" w:cs="Times New Roman"/>
          <w:b/>
          <w:sz w:val="32"/>
          <w:szCs w:val="32"/>
          <w:lang w:eastAsia="zh-CN"/>
        </w:rPr>
        <w:t>（结转资金）</w:t>
      </w:r>
      <w:r>
        <w:rPr>
          <w:rFonts w:hint="default" w:ascii="Times New Roman" w:hAnsi="Times New Roman" w:eastAsia="方正仿宋_GBK" w:cs="Times New Roman"/>
          <w:b/>
          <w:sz w:val="32"/>
          <w:szCs w:val="32"/>
        </w:rPr>
        <w:t>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numPr>
                <w:ilvl w:val="0"/>
                <w:numId w:val="1"/>
              </w:numPr>
              <w:spacing w:line="300" w:lineRule="exact"/>
              <w:jc w:val="left"/>
              <w:rPr>
                <w:rFonts w:hint="default" w:ascii="Times New Roman" w:hAnsi="Times New Roman" w:eastAsia="方正书宋_GBK" w:cs="Times New Roman"/>
                <w:lang w:eastAsia="zh-CN"/>
              </w:rPr>
            </w:pPr>
            <w:r>
              <w:rPr>
                <w:rFonts w:hint="default" w:ascii="Times New Roman" w:hAnsi="Times New Roman" w:eastAsia="方正书宋_GBK" w:cs="Times New Roman"/>
              </w:rPr>
              <w:t>通过租用电信专用通信线路，保障全省彩票销售核心系统和销售网点正常联网，以保证彩票销售业务的顺利进行</w:t>
            </w:r>
            <w:r>
              <w:rPr>
                <w:rFonts w:hint="default" w:ascii="Times New Roman" w:hAnsi="Times New Roman" w:eastAsia="方正书宋_GBK" w:cs="Times New Roman"/>
                <w:lang w:eastAsia="zh-CN"/>
              </w:rPr>
              <w:t>。</w:t>
            </w:r>
          </w:p>
          <w:p>
            <w:pPr>
              <w:numPr>
                <w:ilvl w:val="0"/>
                <w:numId w:val="1"/>
              </w:numPr>
              <w:spacing w:line="300" w:lineRule="exact"/>
              <w:jc w:val="left"/>
              <w:rPr>
                <w:rFonts w:hint="default" w:ascii="Times New Roman" w:hAnsi="Times New Roman" w:eastAsia="方正书宋_GBK" w:cs="Times New Roman"/>
                <w:lang w:eastAsia="zh-CN"/>
              </w:rPr>
            </w:pPr>
            <w:r>
              <w:rPr>
                <w:rFonts w:hint="default" w:ascii="Times New Roman" w:hAnsi="Times New Roman" w:eastAsia="方正书宋_GBK" w:cs="Times New Roman"/>
                <w:lang w:eastAsia="zh-CN"/>
              </w:rPr>
              <w:t xml:space="preserve">通过即开票技术服务，保障即开票销售系统软硬件及终端设备安全正常运行 </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严重网络事故发生数量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非不可抗力线路故障造成</w:t>
            </w:r>
            <w:r>
              <w:rPr>
                <w:rFonts w:hint="eastAsia" w:ascii="Times New Roman" w:hAnsi="Times New Roman" w:eastAsia="方正书宋_GBK" w:cs="Times New Roman"/>
                <w:lang w:val="en-US" w:eastAsia="zh-CN"/>
              </w:rPr>
              <w:t>的</w:t>
            </w:r>
            <w:bookmarkStart w:id="2" w:name="_GoBack"/>
            <w:bookmarkEnd w:id="2"/>
            <w:r>
              <w:rPr>
                <w:rFonts w:hint="default" w:ascii="Times New Roman" w:hAnsi="Times New Roman" w:eastAsia="方正书宋_GBK" w:cs="Times New Roman"/>
                <w:lang w:val="en-US" w:eastAsia="zh-CN"/>
              </w:rPr>
              <w:t>大面积无法销售彩票事故</w:t>
            </w:r>
          </w:p>
        </w:tc>
        <w:tc>
          <w:tcPr>
            <w:tcW w:w="1276" w:type="dxa"/>
            <w:shd w:val="clear" w:color="auto" w:fill="auto"/>
            <w:vAlign w:val="center"/>
          </w:tcPr>
          <w:p>
            <w:pPr>
              <w:spacing w:line="300" w:lineRule="exact"/>
              <w:jc w:val="left"/>
              <w:rPr>
                <w:rFonts w:hint="default" w:ascii="Times New Roman" w:hAnsi="Times New Roman" w:eastAsia="方正书宋_GBK" w:cs="Times New Roman"/>
                <w:lang w:eastAsia="zh-CN"/>
              </w:rPr>
            </w:pPr>
            <w:r>
              <w:rPr>
                <w:rFonts w:hint="default" w:ascii="Times New Roman" w:hAnsi="Times New Roman" w:eastAsia="方正书宋_GBK" w:cs="Times New Roman"/>
                <w:lang w:val="en-US" w:eastAsia="zh-CN"/>
              </w:rPr>
              <w:t>=0起</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系统巡检次数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对系统运行情况进行定期巡检</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=12次</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正常联网线路比率（%）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正常联网无故障发生的线路占总线路的比率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&gt;</w:t>
            </w:r>
            <w:r>
              <w:rPr>
                <w:rFonts w:hint="default" w:ascii="Times New Roman" w:hAnsi="Times New Roman" w:eastAsia="方正书宋_GBK" w:cs="Times New Roman"/>
                <w:lang w:val="en-US" w:eastAsia="zh-CN"/>
              </w:rPr>
              <w:t>95</w:t>
            </w:r>
            <w:r>
              <w:rPr>
                <w:rFonts w:hint="default" w:ascii="Times New Roman" w:hAnsi="Times New Roman" w:eastAsia="方正书宋_GBK" w:cs="Times New Roman"/>
              </w:rPr>
              <w:t>%</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系统正常运转率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系统正常运转的天数占系统运转天数的比率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99</w:t>
            </w:r>
            <w:r>
              <w:rPr>
                <w:rFonts w:hint="default" w:ascii="Times New Roman" w:hAnsi="Times New Roman" w:eastAsia="方正书宋_GBK" w:cs="Times New Roman"/>
              </w:rPr>
              <w:t>%</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故障处理及时率（%）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及时处理的故障数量占总处理数量的比率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lang w:eastAsia="zh-CN"/>
              </w:rPr>
            </w:pPr>
            <w:r>
              <w:rPr>
                <w:rFonts w:hint="default" w:ascii="Times New Roman" w:hAnsi="Times New Roman" w:eastAsia="方正书宋_GBK" w:cs="Times New Roman"/>
                <w:lang w:val="en-US" w:eastAsia="zh-CN"/>
              </w:rPr>
              <w:t>=100%</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租用专用通信线路费用</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租用通信公司网络线路用于联网销售彩票业务</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7.35万</w:t>
            </w:r>
            <w:r>
              <w:rPr>
                <w:rFonts w:hint="default" w:ascii="Times New Roman" w:hAnsi="Times New Roman" w:eastAsia="方正书宋_GBK" w:cs="Times New Roman"/>
              </w:rPr>
              <w:t>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即开票技术服务费用</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对即开票销售系统软硬件及终端设备提供技术维护服务</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≤128.928</w:t>
            </w:r>
            <w:r>
              <w:rPr>
                <w:rFonts w:hint="default" w:ascii="Times New Roman" w:hAnsi="Times New Roman" w:eastAsia="方正书宋_GBK" w:cs="Times New Roman"/>
                <w:lang w:eastAsia="zh-CN"/>
              </w:rPr>
              <w:t>万</w:t>
            </w:r>
            <w:r>
              <w:rPr>
                <w:rFonts w:hint="default" w:ascii="Times New Roman" w:hAnsi="Times New Roman" w:eastAsia="方正书宋_GBK" w:cs="Times New Roman"/>
              </w:rPr>
              <w:t>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可持续性影响指标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技术服务年限</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即开票技术服务及租用网络线路年限</w:t>
            </w:r>
          </w:p>
        </w:tc>
        <w:tc>
          <w:tcPr>
            <w:tcW w:w="1276" w:type="dxa"/>
            <w:shd w:val="clear" w:color="auto" w:fill="auto"/>
            <w:vAlign w:val="center"/>
          </w:tcPr>
          <w:p>
            <w:pPr>
              <w:spacing w:line="300" w:lineRule="exact"/>
              <w:jc w:val="left"/>
              <w:rPr>
                <w:rFonts w:hint="default" w:ascii="Times New Roman" w:hAnsi="Times New Roman" w:eastAsia="方正书宋_GBK" w:cs="Times New Roman"/>
                <w:lang w:eastAsia="zh-CN"/>
              </w:rPr>
            </w:pPr>
            <w:r>
              <w:rPr>
                <w:rFonts w:hint="default" w:ascii="Times New Roman" w:hAnsi="Times New Roman" w:eastAsia="方正书宋_GBK" w:cs="Times New Roman"/>
                <w:lang w:val="en-US" w:eastAsia="zh-CN"/>
              </w:rPr>
              <w:t>=1年</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销售网点满意度(%)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销售系统数据稳定性调查满意的销售网点占全部调查网点的比率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90</w:t>
            </w:r>
            <w:r>
              <w:rPr>
                <w:rFonts w:hint="default" w:ascii="Times New Roman" w:hAnsi="Times New Roman" w:eastAsia="方正书宋_GBK" w:cs="Times New Roman"/>
              </w:rPr>
              <w:t>%</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调查问卷</w:t>
            </w:r>
          </w:p>
        </w:tc>
      </w:tr>
    </w:tbl>
    <w:p>
      <w:pPr>
        <w:rPr>
          <w:rFonts w:hint="default" w:ascii="Times New Roman" w:hAnsi="Times New Roman" w:eastAsia="方正仿宋_GBK" w:cs="Times New Roman"/>
          <w:sz w:val="32"/>
          <w:szCs w:val="32"/>
        </w:rPr>
      </w:pPr>
    </w:p>
    <w:p>
      <w:pPr>
        <w:ind w:firstLine="56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sz w:val="32"/>
          <w:szCs w:val="32"/>
        </w:rPr>
        <w:t>市场宣传、推广及营销项目</w:t>
      </w:r>
      <w:r>
        <w:rPr>
          <w:rFonts w:hint="eastAsia" w:ascii="Times New Roman" w:hAnsi="Times New Roman" w:eastAsia="方正仿宋_GBK" w:cs="Times New Roman"/>
          <w:b/>
          <w:sz w:val="32"/>
          <w:szCs w:val="32"/>
          <w:lang w:eastAsia="zh-CN"/>
        </w:rPr>
        <w:t>（结转资金）</w:t>
      </w:r>
      <w:r>
        <w:rPr>
          <w:rFonts w:hint="default" w:ascii="Times New Roman" w:hAnsi="Times New Roman" w:eastAsia="方正仿宋_GBK" w:cs="Times New Roman"/>
          <w:b/>
          <w:sz w:val="32"/>
          <w:szCs w:val="32"/>
        </w:rPr>
        <w:t>绩效目标表</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绩效目标</w:t>
            </w:r>
          </w:p>
        </w:tc>
        <w:tc>
          <w:tcPr>
            <w:tcW w:w="8278" w:type="dxa"/>
            <w:tcBorders>
              <w:bottom w:val="nil"/>
            </w:tcBorders>
            <w:shd w:val="clear" w:color="auto" w:fill="auto"/>
            <w:vAlign w:val="center"/>
          </w:tcPr>
          <w:p>
            <w:pPr>
              <w:numPr>
                <w:ilvl w:val="0"/>
                <w:numId w:val="2"/>
              </w:num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通过微信小程序“河北福彩通”、“店长云”完成组织及实施线上营销活动。</w:t>
            </w:r>
          </w:p>
          <w:p>
            <w:pPr>
              <w:numPr>
                <w:ilvl w:val="0"/>
                <w:numId w:val="2"/>
              </w:num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完成河北福彩官方微信（订阅号、服务号）日常的运行维护，福彩资讯的采编、发布。</w:t>
            </w:r>
          </w:p>
          <w:p>
            <w:pPr>
              <w:numPr>
                <w:ilvl w:val="0"/>
                <w:numId w:val="2"/>
              </w:num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利用社区报栏广告资源，通过对派奖促销活动的介绍推广，公益活动的宣传，进行品牌推广和形象建设。</w:t>
            </w:r>
          </w:p>
        </w:tc>
      </w:tr>
    </w:tbl>
    <w:p>
      <w:pPr>
        <w:spacing w:line="14" w:lineRule="exact"/>
        <w:ind w:firstLine="420" w:firstLineChars="200"/>
        <w:jc w:val="center"/>
        <w:rPr>
          <w:rFonts w:hint="default" w:ascii="Times New Roman" w:hAnsi="Times New Roman" w:cs="Times New Roman"/>
        </w:rPr>
      </w:pPr>
      <w:r>
        <w:rPr>
          <w:rFonts w:hint="default" w:ascii="Times New Roman" w:hAnsi="Times New Roman" w:eastAsia="方正书宋_GBK" w:cs="Times New Roman"/>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一级指标</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二级指标</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三级指标</w:t>
            </w:r>
          </w:p>
        </w:tc>
        <w:tc>
          <w:tcPr>
            <w:tcW w:w="289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绩效指标描述</w:t>
            </w:r>
          </w:p>
        </w:tc>
        <w:tc>
          <w:tcPr>
            <w:tcW w:w="1276"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w:t>
            </w:r>
          </w:p>
        </w:tc>
        <w:tc>
          <w:tcPr>
            <w:tcW w:w="1701" w:type="dxa"/>
            <w:shd w:val="clear" w:color="auto" w:fill="auto"/>
            <w:vAlign w:val="center"/>
          </w:tcPr>
          <w:p>
            <w:pPr>
              <w:spacing w:line="300" w:lineRule="exact"/>
              <w:jc w:val="center"/>
              <w:rPr>
                <w:rFonts w:hint="default" w:ascii="Times New Roman" w:hAnsi="Times New Roman" w:eastAsia="方正书宋_GBK" w:cs="Times New Roman"/>
                <w:b/>
              </w:rPr>
            </w:pPr>
            <w:r>
              <w:rPr>
                <w:rFonts w:hint="default"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产出指标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全年完成线上营销活动的数量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全年完成线上营销活动的数量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7个</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发布信息数量</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通过微信公众号发布信息数量</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100条</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数量指标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发布广告次数</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通过报栏广告在全省进行活动宣传的次数</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2次</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线上营销活动流程完整</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线上营销活动流程完整的活动占全部线上营销活动的比率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95</w:t>
            </w:r>
            <w:r>
              <w:rPr>
                <w:rFonts w:hint="default" w:ascii="Times New Roman" w:hAnsi="Times New Roman" w:eastAsia="方正书宋_GBK" w:cs="Times New Roman"/>
              </w:rPr>
              <w:t>%</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发布信息准确率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通过微信公众号准确发布的信息数量占全部信息的比率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90</w:t>
            </w:r>
            <w:r>
              <w:rPr>
                <w:rFonts w:hint="default" w:ascii="Times New Roman" w:hAnsi="Times New Roman" w:eastAsia="方正书宋_GBK" w:cs="Times New Roman"/>
              </w:rPr>
              <w:t>%</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质量指标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广告覆盖范围</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是否在合同规定区域内全部覆盖</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90</w:t>
            </w:r>
            <w:r>
              <w:rPr>
                <w:rFonts w:hint="default" w:ascii="Times New Roman" w:hAnsi="Times New Roman" w:eastAsia="方正书宋_GBK" w:cs="Times New Roman"/>
              </w:rPr>
              <w:t>%</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线上营销活动按计划时间完成</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线上营销活动在计划的时间内完成</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活动按计划时间完成</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信息发布按时完成率</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通过微信公众号按计划时间发布的信息数量占全部信息数量的比率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90</w:t>
            </w:r>
            <w:r>
              <w:rPr>
                <w:rFonts w:hint="default" w:ascii="Times New Roman" w:hAnsi="Times New Roman" w:eastAsia="方正书宋_GBK" w:cs="Times New Roman"/>
              </w:rPr>
              <w:t>%</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时效指标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信息发布按时完成</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按计划时间发布的信息数量占全部信息数量的比率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90</w:t>
            </w:r>
            <w:r>
              <w:rPr>
                <w:rFonts w:hint="default" w:ascii="Times New Roman" w:hAnsi="Times New Roman" w:eastAsia="方正书宋_GBK" w:cs="Times New Roman"/>
              </w:rPr>
              <w:t>%</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运营成本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河北福彩营销宣传系统运营成本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19.872万</w:t>
            </w:r>
            <w:r>
              <w:rPr>
                <w:rFonts w:hint="default" w:ascii="Times New Roman" w:hAnsi="Times New Roman" w:eastAsia="方正书宋_GBK" w:cs="Times New Roman"/>
              </w:rPr>
              <w:t>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运营成本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微信公众号运营成本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7.7万</w:t>
            </w:r>
            <w:r>
              <w:rPr>
                <w:rFonts w:hint="default" w:ascii="Times New Roman" w:hAnsi="Times New Roman" w:eastAsia="方正书宋_GBK" w:cs="Times New Roman"/>
              </w:rPr>
              <w:t>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成本指标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报栏广告成本</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报栏广告投放成本</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4万</w:t>
            </w:r>
            <w:r>
              <w:rPr>
                <w:rFonts w:hint="default" w:ascii="Times New Roman" w:hAnsi="Times New Roman" w:eastAsia="方正书宋_GBK" w:cs="Times New Roman"/>
              </w:rPr>
              <w:t>元</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效果指标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社会效益指标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提升认知度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提高彩民对福利彩票的认知度</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有效提高彩民对福利彩票的认知度</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default" w:ascii="Times New Roman" w:hAnsi="Times New Roman" w:eastAsia="方正书宋_GBK" w:cs="Times New Roman"/>
              </w:rPr>
            </w:pP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可持续性影响指标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提升品牌形象</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进行品牌推广和形象建设</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宣传福利彩票的公益性和文化，进行品牌推广和形象建设</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default" w:ascii="Times New Roman" w:hAnsi="Times New Roman" w:eastAsia="方正书宋_GBK" w:cs="Times New Roman"/>
              </w:rPr>
            </w:pPr>
            <w:r>
              <w:rPr>
                <w:rFonts w:hint="default" w:ascii="Times New Roman" w:hAnsi="Times New Roman" w:eastAsia="方正书宋_GBK" w:cs="Times New Roman"/>
              </w:rPr>
              <w:t>满意度指标</w:t>
            </w:r>
          </w:p>
        </w:tc>
        <w:tc>
          <w:tcPr>
            <w:tcW w:w="1134"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服务对象满意度指标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营销宣传系统客户端用户满意度</w:t>
            </w:r>
          </w:p>
        </w:tc>
        <w:tc>
          <w:tcPr>
            <w:tcW w:w="289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营销宣传系统客户端用户的满意数占调查用户总数的比率</w:t>
            </w:r>
          </w:p>
        </w:tc>
        <w:tc>
          <w:tcPr>
            <w:tcW w:w="1276"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rPr>
              <w:t>≥</w:t>
            </w:r>
            <w:r>
              <w:rPr>
                <w:rFonts w:hint="default" w:ascii="Times New Roman" w:hAnsi="Times New Roman" w:eastAsia="方正书宋_GBK" w:cs="Times New Roman"/>
                <w:lang w:val="en-US" w:eastAsia="zh-CN"/>
              </w:rPr>
              <w:t>9</w:t>
            </w:r>
            <w:r>
              <w:rPr>
                <w:rFonts w:hint="default" w:ascii="Times New Roman" w:hAnsi="Times New Roman" w:eastAsia="方正书宋_GBK" w:cs="Times New Roman"/>
              </w:rPr>
              <w:t>5%</w:t>
            </w:r>
          </w:p>
        </w:tc>
        <w:tc>
          <w:tcPr>
            <w:tcW w:w="1701" w:type="dxa"/>
            <w:shd w:val="clear" w:color="auto" w:fill="auto"/>
            <w:vAlign w:val="center"/>
          </w:tcPr>
          <w:p>
            <w:pPr>
              <w:spacing w:line="300" w:lineRule="exact"/>
              <w:jc w:val="left"/>
              <w:rPr>
                <w:rFonts w:hint="default" w:ascii="Times New Roman" w:hAnsi="Times New Roman" w:eastAsia="方正书宋_GBK" w:cs="Times New Roman"/>
              </w:rPr>
            </w:pPr>
            <w:r>
              <w:rPr>
                <w:rFonts w:hint="default" w:ascii="Times New Roman" w:hAnsi="Times New Roman" w:eastAsia="方正书宋_GBK" w:cs="Times New Roman"/>
                <w:lang w:val="en-US" w:eastAsia="zh-CN"/>
              </w:rPr>
              <w:t>调查问卷</w:t>
            </w:r>
          </w:p>
        </w:tc>
      </w:tr>
    </w:tbl>
    <w:p>
      <w:pPr>
        <w:rPr>
          <w:rFonts w:hint="default" w:ascii="Times New Roman" w:hAnsi="Times New Roman" w:eastAsia="方正仿宋_GBK" w:cs="Times New Roman"/>
          <w:sz w:val="32"/>
          <w:szCs w:val="32"/>
        </w:rPr>
      </w:pPr>
    </w:p>
    <w:bookmarkEnd w:id="0"/>
    <w:p>
      <w:pPr>
        <w:autoSpaceDE w:val="0"/>
        <w:autoSpaceDN w:val="0"/>
        <w:adjustRightInd w:val="0"/>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六、政府采购预算情况  </w:t>
      </w:r>
    </w:p>
    <w:p>
      <w:pPr>
        <w:ind w:firstLine="640" w:firstLineChars="200"/>
        <w:outlineLvl w:val="0"/>
        <w:rPr>
          <w:rFonts w:hint="default" w:ascii="Times New Roman" w:hAnsi="Times New Roman" w:eastAsia="方正仿宋_GBK" w:cs="Times New Roman"/>
          <w:sz w:val="32"/>
          <w:szCs w:val="24"/>
        </w:rPr>
      </w:pPr>
      <w:bookmarkStart w:id="1" w:name="_Toc471398468"/>
      <w:r>
        <w:rPr>
          <w:rFonts w:hint="default" w:ascii="Times New Roman" w:hAnsi="Times New Roman" w:eastAsia="方正仿宋_GBK" w:cs="Times New Roman"/>
          <w:sz w:val="32"/>
          <w:szCs w:val="24"/>
        </w:rPr>
        <w:t>2021年，我部门安排政府采购预算7546.35万元。具体内容见下表。</w:t>
      </w:r>
    </w:p>
    <w:p>
      <w:pPr>
        <w:ind w:firstLine="360" w:firstLineChars="200"/>
        <w:jc w:val="center"/>
        <w:outlineLvl w:val="1"/>
        <w:rPr>
          <w:rFonts w:hint="default" w:ascii="Times New Roman" w:hAnsi="Times New Roman" w:cs="Times New Roman"/>
          <w:sz w:val="18"/>
          <w:szCs w:val="18"/>
        </w:rPr>
      </w:pPr>
    </w:p>
    <w:p>
      <w:pPr>
        <w:ind w:firstLine="640" w:firstLineChars="200"/>
        <w:jc w:val="center"/>
        <w:outlineLvl w:val="1"/>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部门政府采购预算</w:t>
      </w:r>
    </w:p>
    <w:tbl>
      <w:tblPr>
        <w:tblStyle w:val="12"/>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553"/>
        <w:gridCol w:w="850"/>
        <w:gridCol w:w="993"/>
        <w:gridCol w:w="992"/>
        <w:gridCol w:w="1134"/>
        <w:gridCol w:w="1134"/>
        <w:gridCol w:w="1828"/>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292"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Times New Roman" w:hAnsi="Times New Roman" w:eastAsia="方正小标宋_GBK" w:cs="Times New Roman"/>
                <w:sz w:val="18"/>
                <w:szCs w:val="18"/>
              </w:rPr>
            </w:pPr>
            <w:r>
              <w:rPr>
                <w:rFonts w:hint="default" w:ascii="Times New Roman" w:hAnsi="Times New Roman" w:eastAsia="方正小标宋_GBK" w:cs="Times New Roman"/>
                <w:sz w:val="18"/>
                <w:szCs w:val="18"/>
              </w:rPr>
              <w:t>718河北省福利彩票发行管理中心</w:t>
            </w:r>
          </w:p>
        </w:tc>
        <w:tc>
          <w:tcPr>
            <w:tcW w:w="7215"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政府采购项目来源</w:t>
            </w:r>
          </w:p>
        </w:tc>
        <w:tc>
          <w:tcPr>
            <w:tcW w:w="1531" w:type="dxa"/>
            <w:vMerge w:val="restart"/>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采购物品名称</w:t>
            </w:r>
          </w:p>
        </w:tc>
        <w:tc>
          <w:tcPr>
            <w:tcW w:w="1531" w:type="dxa"/>
            <w:vMerge w:val="restart"/>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政府采购目录序号</w:t>
            </w:r>
          </w:p>
        </w:tc>
        <w:tc>
          <w:tcPr>
            <w:tcW w:w="709" w:type="dxa"/>
            <w:vMerge w:val="restart"/>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计量  单位</w:t>
            </w:r>
          </w:p>
        </w:tc>
        <w:tc>
          <w:tcPr>
            <w:tcW w:w="553" w:type="dxa"/>
            <w:vMerge w:val="restart"/>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数量</w:t>
            </w:r>
          </w:p>
        </w:tc>
        <w:tc>
          <w:tcPr>
            <w:tcW w:w="850" w:type="dxa"/>
            <w:vMerge w:val="restart"/>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单价</w:t>
            </w:r>
          </w:p>
        </w:tc>
        <w:tc>
          <w:tcPr>
            <w:tcW w:w="7215" w:type="dxa"/>
            <w:gridSpan w:val="6"/>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项目名称</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预算资金</w:t>
            </w:r>
          </w:p>
        </w:tc>
        <w:tc>
          <w:tcPr>
            <w:tcW w:w="1531" w:type="dxa"/>
            <w:vMerge w:val="continue"/>
            <w:shd w:val="clear" w:color="auto" w:fill="auto"/>
            <w:vAlign w:val="center"/>
          </w:tcPr>
          <w:p>
            <w:pPr>
              <w:spacing w:line="300" w:lineRule="exact"/>
              <w:jc w:val="left"/>
              <w:outlineLvl w:val="1"/>
              <w:rPr>
                <w:rFonts w:hint="default" w:ascii="Times New Roman" w:hAnsi="Times New Roman" w:eastAsia="方正仿宋_GBK" w:cs="Times New Roman"/>
                <w:sz w:val="18"/>
                <w:szCs w:val="18"/>
              </w:rPr>
            </w:pPr>
          </w:p>
        </w:tc>
        <w:tc>
          <w:tcPr>
            <w:tcW w:w="1531" w:type="dxa"/>
            <w:vMerge w:val="continue"/>
            <w:shd w:val="clear" w:color="auto" w:fill="auto"/>
            <w:vAlign w:val="center"/>
          </w:tcPr>
          <w:p>
            <w:pPr>
              <w:spacing w:line="300" w:lineRule="exact"/>
              <w:jc w:val="left"/>
              <w:outlineLvl w:val="1"/>
              <w:rPr>
                <w:rFonts w:hint="default" w:ascii="Times New Roman" w:hAnsi="Times New Roman" w:eastAsia="方正仿宋_GBK" w:cs="Times New Roman"/>
                <w:sz w:val="18"/>
                <w:szCs w:val="18"/>
              </w:rPr>
            </w:pPr>
          </w:p>
        </w:tc>
        <w:tc>
          <w:tcPr>
            <w:tcW w:w="709" w:type="dxa"/>
            <w:vMerge w:val="continue"/>
            <w:shd w:val="clear" w:color="auto" w:fill="auto"/>
            <w:vAlign w:val="center"/>
          </w:tcPr>
          <w:p>
            <w:pPr>
              <w:spacing w:line="300" w:lineRule="exact"/>
              <w:jc w:val="left"/>
              <w:outlineLvl w:val="1"/>
              <w:rPr>
                <w:rFonts w:hint="default" w:ascii="Times New Roman" w:hAnsi="Times New Roman" w:eastAsia="方正仿宋_GBK" w:cs="Times New Roman"/>
                <w:sz w:val="18"/>
                <w:szCs w:val="18"/>
              </w:rPr>
            </w:pPr>
          </w:p>
        </w:tc>
        <w:tc>
          <w:tcPr>
            <w:tcW w:w="553" w:type="dxa"/>
            <w:vMerge w:val="continue"/>
            <w:shd w:val="clear" w:color="auto" w:fill="auto"/>
            <w:vAlign w:val="center"/>
          </w:tcPr>
          <w:p>
            <w:pPr>
              <w:spacing w:line="300" w:lineRule="exact"/>
              <w:jc w:val="left"/>
              <w:outlineLvl w:val="1"/>
              <w:rPr>
                <w:rFonts w:hint="default" w:ascii="Times New Roman" w:hAnsi="Times New Roman" w:eastAsia="方正仿宋_GBK" w:cs="Times New Roman"/>
                <w:sz w:val="18"/>
                <w:szCs w:val="18"/>
              </w:rPr>
            </w:pPr>
          </w:p>
        </w:tc>
        <w:tc>
          <w:tcPr>
            <w:tcW w:w="850" w:type="dxa"/>
            <w:vMerge w:val="continue"/>
            <w:shd w:val="clear" w:color="auto" w:fill="auto"/>
            <w:vAlign w:val="center"/>
          </w:tcPr>
          <w:p>
            <w:pPr>
              <w:spacing w:line="300" w:lineRule="exact"/>
              <w:jc w:val="left"/>
              <w:outlineLvl w:val="1"/>
              <w:rPr>
                <w:rFonts w:hint="default" w:ascii="Times New Roman" w:hAnsi="Times New Roman" w:eastAsia="方正仿宋_GBK" w:cs="Times New Roman"/>
                <w:sz w:val="18"/>
                <w:szCs w:val="18"/>
              </w:rPr>
            </w:pPr>
          </w:p>
        </w:tc>
        <w:tc>
          <w:tcPr>
            <w:tcW w:w="993" w:type="dxa"/>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合计</w:t>
            </w:r>
          </w:p>
        </w:tc>
        <w:tc>
          <w:tcPr>
            <w:tcW w:w="992" w:type="dxa"/>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一般公共预算拨款</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基金预算拨款</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国有资本经营预算拨款</w:t>
            </w:r>
          </w:p>
        </w:tc>
        <w:tc>
          <w:tcPr>
            <w:tcW w:w="1828" w:type="dxa"/>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财政专户核拨</w:t>
            </w:r>
          </w:p>
        </w:tc>
        <w:tc>
          <w:tcPr>
            <w:tcW w:w="1134" w:type="dxa"/>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合  计</w:t>
            </w:r>
          </w:p>
        </w:tc>
        <w:tc>
          <w:tcPr>
            <w:tcW w:w="1134"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c>
          <w:tcPr>
            <w:tcW w:w="1531" w:type="dxa"/>
            <w:shd w:val="clear" w:color="auto" w:fill="auto"/>
            <w:vAlign w:val="center"/>
          </w:tcPr>
          <w:p>
            <w:pPr>
              <w:spacing w:line="300" w:lineRule="exact"/>
              <w:jc w:val="left"/>
              <w:rPr>
                <w:rFonts w:hint="default" w:ascii="Times New Roman" w:hAnsi="Times New Roman" w:eastAsia="方正书宋_GBK" w:cs="Times New Roman"/>
                <w:b/>
                <w:sz w:val="18"/>
                <w:szCs w:val="18"/>
              </w:rPr>
            </w:pPr>
          </w:p>
        </w:tc>
        <w:tc>
          <w:tcPr>
            <w:tcW w:w="1531" w:type="dxa"/>
            <w:shd w:val="clear" w:color="auto" w:fill="auto"/>
            <w:vAlign w:val="center"/>
          </w:tcPr>
          <w:p>
            <w:pPr>
              <w:spacing w:line="300" w:lineRule="exact"/>
              <w:jc w:val="left"/>
              <w:rPr>
                <w:rFonts w:hint="default" w:ascii="Times New Roman" w:hAnsi="Times New Roman" w:eastAsia="方正书宋_GBK" w:cs="Times New Roman"/>
                <w:b/>
                <w:sz w:val="18"/>
                <w:szCs w:val="18"/>
              </w:rPr>
            </w:pPr>
          </w:p>
        </w:tc>
        <w:tc>
          <w:tcPr>
            <w:tcW w:w="709" w:type="dxa"/>
            <w:shd w:val="clear" w:color="auto" w:fill="auto"/>
            <w:vAlign w:val="center"/>
          </w:tcPr>
          <w:p>
            <w:pPr>
              <w:spacing w:line="300" w:lineRule="exact"/>
              <w:jc w:val="center"/>
              <w:rPr>
                <w:rFonts w:hint="default" w:ascii="Times New Roman" w:hAnsi="Times New Roman" w:eastAsia="方正书宋_GBK" w:cs="Times New Roman"/>
                <w:b/>
                <w:sz w:val="18"/>
                <w:szCs w:val="18"/>
              </w:rPr>
            </w:pPr>
          </w:p>
        </w:tc>
        <w:tc>
          <w:tcPr>
            <w:tcW w:w="553"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c>
          <w:tcPr>
            <w:tcW w:w="850"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c>
          <w:tcPr>
            <w:tcW w:w="993" w:type="dxa"/>
            <w:shd w:val="clear" w:color="auto" w:fill="auto"/>
            <w:vAlign w:val="center"/>
          </w:tcPr>
          <w:p>
            <w:pPr>
              <w:spacing w:line="300" w:lineRule="exact"/>
              <w:jc w:val="right"/>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7546.35</w:t>
            </w:r>
          </w:p>
        </w:tc>
        <w:tc>
          <w:tcPr>
            <w:tcW w:w="992"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7546.35</w:t>
            </w:r>
          </w:p>
        </w:tc>
        <w:tc>
          <w:tcPr>
            <w:tcW w:w="1134"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河北省福利彩票发行管理中心本级小计</w:t>
            </w:r>
          </w:p>
        </w:tc>
        <w:tc>
          <w:tcPr>
            <w:tcW w:w="1134"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c>
          <w:tcPr>
            <w:tcW w:w="1531" w:type="dxa"/>
            <w:shd w:val="clear" w:color="auto" w:fill="auto"/>
            <w:vAlign w:val="center"/>
          </w:tcPr>
          <w:p>
            <w:pPr>
              <w:spacing w:line="300" w:lineRule="exact"/>
              <w:jc w:val="left"/>
              <w:rPr>
                <w:rFonts w:hint="default" w:ascii="Times New Roman" w:hAnsi="Times New Roman" w:eastAsia="方正书宋_GBK" w:cs="Times New Roman"/>
                <w:b/>
                <w:sz w:val="18"/>
                <w:szCs w:val="18"/>
              </w:rPr>
            </w:pPr>
          </w:p>
        </w:tc>
        <w:tc>
          <w:tcPr>
            <w:tcW w:w="1531" w:type="dxa"/>
            <w:shd w:val="clear" w:color="auto" w:fill="auto"/>
            <w:vAlign w:val="center"/>
          </w:tcPr>
          <w:p>
            <w:pPr>
              <w:spacing w:line="300" w:lineRule="exact"/>
              <w:jc w:val="left"/>
              <w:rPr>
                <w:rFonts w:hint="default" w:ascii="Times New Roman" w:hAnsi="Times New Roman" w:eastAsia="方正书宋_GBK" w:cs="Times New Roman"/>
                <w:b/>
                <w:sz w:val="18"/>
                <w:szCs w:val="18"/>
              </w:rPr>
            </w:pPr>
          </w:p>
        </w:tc>
        <w:tc>
          <w:tcPr>
            <w:tcW w:w="709" w:type="dxa"/>
            <w:shd w:val="clear" w:color="auto" w:fill="auto"/>
            <w:vAlign w:val="center"/>
          </w:tcPr>
          <w:p>
            <w:pPr>
              <w:spacing w:line="300" w:lineRule="exact"/>
              <w:jc w:val="center"/>
              <w:rPr>
                <w:rFonts w:hint="default" w:ascii="Times New Roman" w:hAnsi="Times New Roman" w:eastAsia="方正书宋_GBK" w:cs="Times New Roman"/>
                <w:b/>
                <w:sz w:val="18"/>
                <w:szCs w:val="18"/>
              </w:rPr>
            </w:pPr>
          </w:p>
        </w:tc>
        <w:tc>
          <w:tcPr>
            <w:tcW w:w="553"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c>
          <w:tcPr>
            <w:tcW w:w="850"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c>
          <w:tcPr>
            <w:tcW w:w="993" w:type="dxa"/>
            <w:shd w:val="clear" w:color="auto" w:fill="auto"/>
            <w:vAlign w:val="center"/>
          </w:tcPr>
          <w:p>
            <w:pPr>
              <w:spacing w:line="300" w:lineRule="exact"/>
              <w:jc w:val="right"/>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7546.35</w:t>
            </w:r>
          </w:p>
        </w:tc>
        <w:tc>
          <w:tcPr>
            <w:tcW w:w="992"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b/>
                <w:sz w:val="18"/>
                <w:szCs w:val="18"/>
              </w:rPr>
            </w:pPr>
            <w:r>
              <w:rPr>
                <w:rFonts w:hint="default" w:ascii="Times New Roman" w:hAnsi="Times New Roman" w:eastAsia="方正书宋_GBK" w:cs="Times New Roman"/>
                <w:b/>
                <w:sz w:val="18"/>
                <w:szCs w:val="18"/>
              </w:rPr>
              <w:t>7546.35</w:t>
            </w:r>
          </w:p>
        </w:tc>
        <w:tc>
          <w:tcPr>
            <w:tcW w:w="1134"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日常公用经费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239.00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台式计算机</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A02010104</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台</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0.50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10.50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10.50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日常公用经费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239.00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激光打印机</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A0201060102</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台</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6</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0.30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1.80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1.80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日常公用经费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239.00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扫描仪</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A0201060901</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台</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0.40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0.80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0.80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日常公用经费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239.00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多功能一体机</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A020204</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台</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日常公用经费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239.00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碎纸机</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A02021101</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台</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0.10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0.40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0.40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日常公用经费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239.00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其他视频会议系统设备</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A02080899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套</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5.10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5.10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5.10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日常公用经费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239.00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复印纸</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A090101</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4.50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4.50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4.50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日常公用经费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239.00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物业管理服务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C1204</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13.00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13.00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13.00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福彩业务管理费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313.00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车辆维修和保养服务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C050301</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24.00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24.00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24.00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福彩业务管理费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313.00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车辆加油服务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C050302</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11.00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11.00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11.00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福彩业务管理费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313.00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一般会议服务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C060102</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18.00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18.00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18.00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福彩业务管理费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313.00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机动车保险服务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C15040201</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4.80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4.80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4.80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数据中心运行维护费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398.00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其他电能</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A140199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120.00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120.00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120.00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数据中心运行维护费</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398.00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物业管理服务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C1204</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135.00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135.00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135.00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彩票销售投注机专用热敏纸</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452.10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其他纸制品</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A08010599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452.10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452.10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452.10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福利彩票促销项目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954.00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其他不另分类的物品</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A9999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福利彩票开奖项目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305.50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其他运营服务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C020799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258.00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258.00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258.00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福利彩票销售渠道建设项目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2008.70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其他视频会议系统设备</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A02080899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福利彩票销售渠道建设项目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2008.70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彩票销售设备</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A033705</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台</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1001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1501.50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1501.50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福利彩票销售渠道建设项目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2008.70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彩票销售设备</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A033705</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台</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500</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0.60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300.00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300.00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福利彩票销售渠道建设项目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2008.70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其他运营服务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C020799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福利彩票销售系统维保项目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522.76</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路由器</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A02010201</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个</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1.20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2.40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2.40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福利彩票销售系统维保项目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522.76</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路由器</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A02010201</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个</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3.50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福利彩票销售系统维保项目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522.76</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以太网交换机</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A0201020201</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个</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6</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0.55</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3.30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3.30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福利彩票销售系统维保项目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522.76</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以太网交换机</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A0201020201</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个</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0.35</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1.40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1.40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福利彩票销售系统维保项目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522.76</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其他网络连接设备</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A0201020999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套</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13.80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13.80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13.80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福利彩票销售系统维保项目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522.76</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负载均衡设备</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A02010211</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个</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16.00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16.00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福利彩票销售系统维保项目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522.76</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防火墙</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A02010301</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个</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福利彩票销售系统维保项目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522.76</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防火墙</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A02010301</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个</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1.80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1.80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1.80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福利彩票销售系统维保项目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522.76</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防火墙</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A02010301</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个</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1.60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福利彩票销售系统维保项目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522.76</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软件运维服务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C020603</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267.00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267.00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267.00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福利彩票销售系统维保项目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522.76</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软件运维服务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C020603</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88.20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88.20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88.20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福利彩票销售系统维保项目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522.76</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软件运维服务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C020603</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47.40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47.40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47.40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购买彩票销售与管理人力资源服务支出</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548.29</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职业中介服务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315.45</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315.45</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315.45</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购买彩票销售与管理人力资源服务支出</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548.29</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职业中介服务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21.60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21.60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21.60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技术服务项目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1160.00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软件运维服务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C020603</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330.00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330.00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330.00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技术服务项目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1160.00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其他电信和信息传输服务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C0399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73.10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73.10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73.10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技术服务项目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1160.00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其他电信和信息传输服务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C0399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605.28</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605.28</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605.28</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技术服务项目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1160.00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其他电信和信息传输服务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C0399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151.62</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151.62</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151.62</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其他印刷品</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A080299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210.00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210.00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210.00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其他印刷品</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A080299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100.00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100.00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100.00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平台运营服务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C020702</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60.00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60.00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60.00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平台运营服务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C020702</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其他运营服务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C020799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26.00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26.00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26.00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其他运营服务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C020799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5.00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其他运营服务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C020799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广告服务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C0806</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60.00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180.00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180.00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广告服务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C0806</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45.00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45.00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45.00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广告服务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C0806</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140.00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140.00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140.00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广告服务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C0806</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90.00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90.00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90.00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广告服务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C0806</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40.00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广告服务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C0806</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广告服务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C0806</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广告服务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C0806</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广告服务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C0806</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73.60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73.60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73.60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广告服务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C0806</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153.00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153.00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153.00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广告服务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C0806</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22.80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22.80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22.80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市场宣传、推广及营销项目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1758.55</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广告服务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C0806</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3</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240.00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240.00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终端设备维保项目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804.10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744.00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744.00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744.00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终端设备维保项目</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804.10</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其他服务</w:t>
            </w:r>
          </w:p>
        </w:tc>
        <w:tc>
          <w:tcPr>
            <w:tcW w:w="1531" w:type="dxa"/>
            <w:shd w:val="clear" w:color="auto" w:fill="auto"/>
            <w:vAlign w:val="center"/>
          </w:tcPr>
          <w:p>
            <w:pPr>
              <w:spacing w:line="300" w:lineRule="exact"/>
              <w:jc w:val="lef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C99</w:t>
            </w:r>
          </w:p>
        </w:tc>
        <w:tc>
          <w:tcPr>
            <w:tcW w:w="709" w:type="dxa"/>
            <w:shd w:val="clear" w:color="auto" w:fill="auto"/>
            <w:vAlign w:val="center"/>
          </w:tcPr>
          <w:p>
            <w:pPr>
              <w:spacing w:line="300" w:lineRule="exact"/>
              <w:jc w:val="center"/>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批</w:t>
            </w:r>
          </w:p>
        </w:tc>
        <w:tc>
          <w:tcPr>
            <w:tcW w:w="55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1</w:t>
            </w:r>
          </w:p>
        </w:tc>
        <w:tc>
          <w:tcPr>
            <w:tcW w:w="850"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60.10</w:t>
            </w:r>
          </w:p>
        </w:tc>
        <w:tc>
          <w:tcPr>
            <w:tcW w:w="993"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60.10</w:t>
            </w:r>
          </w:p>
        </w:tc>
        <w:tc>
          <w:tcPr>
            <w:tcW w:w="992"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r>
              <w:rPr>
                <w:rFonts w:hint="default" w:ascii="Times New Roman" w:hAnsi="Times New Roman" w:eastAsia="方正书宋_GBK" w:cs="Times New Roman"/>
                <w:sz w:val="18"/>
                <w:szCs w:val="18"/>
              </w:rPr>
              <w:t>60.10</w:t>
            </w: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828"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c>
          <w:tcPr>
            <w:tcW w:w="1134" w:type="dxa"/>
            <w:shd w:val="clear" w:color="auto" w:fill="auto"/>
            <w:vAlign w:val="center"/>
          </w:tcPr>
          <w:p>
            <w:pPr>
              <w:spacing w:line="300" w:lineRule="exact"/>
              <w:jc w:val="right"/>
              <w:rPr>
                <w:rFonts w:hint="default" w:ascii="Times New Roman" w:hAnsi="Times New Roman" w:eastAsia="方正书宋_GBK" w:cs="Times New Roman"/>
                <w:sz w:val="18"/>
                <w:szCs w:val="18"/>
              </w:rPr>
            </w:pPr>
          </w:p>
        </w:tc>
      </w:tr>
    </w:tbl>
    <w:p>
      <w:pPr>
        <w:ind w:firstLine="640" w:firstLineChars="200"/>
        <w:outlineLvl w:val="0"/>
        <w:rPr>
          <w:rFonts w:hint="default" w:ascii="Times New Roman" w:hAnsi="Times New Roman" w:eastAsia="方正仿宋_GBK" w:cs="Times New Roman"/>
          <w:sz w:val="32"/>
          <w:szCs w:val="24"/>
        </w:rPr>
      </w:pPr>
    </w:p>
    <w:p>
      <w:pPr>
        <w:ind w:firstLine="640" w:firstLineChars="200"/>
        <w:outlineLvl w:val="0"/>
        <w:rPr>
          <w:rFonts w:hint="default" w:ascii="Times New Roman" w:hAnsi="Times New Roman" w:eastAsia="方正仿宋_GBK" w:cs="Times New Roman"/>
          <w:sz w:val="32"/>
          <w:szCs w:val="24"/>
        </w:rPr>
      </w:pPr>
    </w:p>
    <w:bookmarkEnd w:id="1"/>
    <w:p>
      <w:pPr>
        <w:autoSpaceDE w:val="0"/>
        <w:autoSpaceDN w:val="0"/>
        <w:adjustRightInd w:val="0"/>
        <w:ind w:firstLine="640" w:firstLineChars="200"/>
        <w:jc w:val="left"/>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七、国有资产信息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河北省福利彩票发行管理中心上年末固定资产金额为49556.26万元（详见下表），本年度拟购置固定资产总额为1991.8万元，主要为彩票销售设备、机房设备、视频会议系统设备、计算机设备等，已列入政府采购预算，详见政府采购预算表。</w:t>
      </w:r>
    </w:p>
    <w:tbl>
      <w:tblPr>
        <w:tblStyle w:val="12"/>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hint="default" w:ascii="Times New Roman" w:hAnsi="Times New Roman" w:eastAsia="宋体" w:cs="Times New Roman"/>
                <w:b/>
                <w:bCs/>
                <w:kern w:val="0"/>
                <w:sz w:val="32"/>
                <w:szCs w:val="32"/>
              </w:rPr>
            </w:pPr>
            <w:r>
              <w:rPr>
                <w:rFonts w:hint="default" w:ascii="Times New Roman" w:hAnsi="Times New Roman" w:eastAsia="宋体" w:cs="Times New Roman"/>
                <w:b/>
                <w:bCs/>
                <w:kern w:val="0"/>
                <w:sz w:val="32"/>
                <w:szCs w:val="32"/>
              </w:rPr>
              <w:t>河北省省直部门固定资产占用情况表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22"/>
              </w:rPr>
            </w:pPr>
            <w:r>
              <w:rPr>
                <w:rFonts w:hint="default" w:ascii="Times New Roman" w:hAnsi="Times New Roman" w:eastAsia="宋体" w:cs="Times New Roman"/>
                <w:kern w:val="0"/>
                <w:sz w:val="22"/>
              </w:rPr>
              <w:t>编制部门：河北省福利彩票发行管理中心</w:t>
            </w:r>
          </w:p>
        </w:tc>
        <w:tc>
          <w:tcPr>
            <w:tcW w:w="5103"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22"/>
              </w:rPr>
            </w:pPr>
            <w:r>
              <w:rPr>
                <w:rFonts w:hint="default" w:ascii="Times New Roman" w:hAnsi="Times New Roman" w:eastAsia="宋体" w:cs="Times New Roman"/>
                <w:kern w:val="0"/>
                <w:sz w:val="22"/>
              </w:rPr>
              <w:t xml:space="preserve">截止时间：2020年12月31日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2"/>
              </w:rPr>
            </w:pPr>
            <w:r>
              <w:rPr>
                <w:rFonts w:hint="default" w:ascii="Times New Roman" w:hAnsi="Times New Roman" w:eastAsia="宋体"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2"/>
              </w:rPr>
            </w:pPr>
            <w:r>
              <w:rPr>
                <w:rFonts w:hint="default" w:ascii="Times New Roman" w:hAnsi="Times New Roman" w:eastAsia="宋体"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2"/>
              </w:rPr>
            </w:pPr>
            <w:r>
              <w:rPr>
                <w:rFonts w:hint="default" w:ascii="Times New Roman" w:hAnsi="Times New Roman" w:eastAsia="宋体" w:cs="Times New Roman"/>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49556.26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2"/>
              </w:rPr>
            </w:pPr>
            <w:r>
              <w:rPr>
                <w:rFonts w:hint="default" w:ascii="Times New Roman" w:hAnsi="Times New Roman" w:eastAsia="宋体"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0"/>
                <w:szCs w:val="20"/>
              </w:rPr>
            </w:pPr>
          </w:p>
          <w:p>
            <w:pPr>
              <w:jc w:val="center"/>
              <w:rPr>
                <w:rFonts w:hint="default" w:ascii="Times New Roman" w:hAnsi="Times New Roman" w:cs="Times New Roman"/>
                <w:sz w:val="22"/>
              </w:rPr>
            </w:pPr>
            <w:r>
              <w:rPr>
                <w:rFonts w:hint="default" w:ascii="Times New Roman" w:hAnsi="Times New Roman" w:cs="Times New Roman"/>
                <w:sz w:val="22"/>
              </w:rPr>
              <w:t>32461.63</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sz w:val="22"/>
              </w:rPr>
            </w:pPr>
            <w:r>
              <w:rPr>
                <w:rFonts w:hint="default" w:ascii="Times New Roman" w:hAnsi="Times New Roman" w:cs="Times New Roman"/>
                <w:sz w:val="22"/>
              </w:rPr>
              <w:t>19903.83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2"/>
              </w:rPr>
            </w:pPr>
            <w:r>
              <w:rPr>
                <w:rFonts w:hint="default" w:ascii="Times New Roman" w:hAnsi="Times New Roman" w:eastAsia="宋体" w:cs="Times New Roman"/>
                <w:kern w:val="0"/>
                <w:sz w:val="22"/>
              </w:rPr>
              <w:t xml:space="preserve">   其中：办公用房（平方米）    </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sz w:val="22"/>
              </w:rPr>
            </w:pPr>
            <w:r>
              <w:rPr>
                <w:rFonts w:hint="default" w:ascii="Times New Roman" w:hAnsi="Times New Roman" w:cs="Times New Roman"/>
                <w:sz w:val="22"/>
              </w:rPr>
              <w:t>476</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sz w:val="22"/>
              </w:rPr>
            </w:pPr>
            <w:r>
              <w:rPr>
                <w:rFonts w:hint="default" w:ascii="Times New Roman" w:hAnsi="Times New Roman" w:cs="Times New Roman"/>
                <w:sz w:val="22"/>
              </w:rPr>
              <w:t>298.21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2"/>
              </w:rPr>
            </w:pPr>
            <w:r>
              <w:rPr>
                <w:rFonts w:hint="default" w:ascii="Times New Roman" w:hAnsi="Times New Roman" w:eastAsia="宋体"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sz w:val="22"/>
              </w:rPr>
            </w:pPr>
            <w:r>
              <w:rPr>
                <w:rFonts w:hint="default" w:ascii="Times New Roman" w:hAnsi="Times New Roman" w:cs="Times New Roman"/>
                <w:sz w:val="22"/>
              </w:rPr>
              <w:t>6</w:t>
            </w:r>
          </w:p>
        </w:tc>
        <w:tc>
          <w:tcPr>
            <w:tcW w:w="510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sz w:val="22"/>
              </w:rPr>
            </w:pPr>
            <w:r>
              <w:rPr>
                <w:rFonts w:hint="default" w:ascii="Times New Roman" w:hAnsi="Times New Roman" w:cs="Times New Roman"/>
                <w:sz w:val="22"/>
              </w:rPr>
              <w:t>196.01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2"/>
              </w:rPr>
            </w:pPr>
            <w:r>
              <w:rPr>
                <w:rFonts w:hint="default" w:ascii="Times New Roman" w:hAnsi="Times New Roman" w:eastAsia="宋体"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sz w:val="22"/>
              </w:rPr>
            </w:pPr>
            <w:r>
              <w:rPr>
                <w:rFonts w:hint="default" w:ascii="Times New Roman" w:hAnsi="Times New Roman" w:cs="Times New Roman"/>
                <w:sz w:val="22"/>
              </w:rPr>
              <w:t>15</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sz w:val="22"/>
              </w:rPr>
            </w:pPr>
            <w:r>
              <w:rPr>
                <w:rFonts w:hint="default" w:ascii="Times New Roman" w:hAnsi="Times New Roman" w:cs="Times New Roman"/>
                <w:sz w:val="22"/>
              </w:rPr>
              <w:t>391.71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2"/>
              </w:rPr>
            </w:pPr>
            <w:r>
              <w:rPr>
                <w:rFonts w:hint="default" w:ascii="Times New Roman" w:hAnsi="Times New Roman" w:eastAsia="宋体"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sz w:val="22"/>
              </w:rPr>
            </w:pPr>
            <w:r>
              <w:rPr>
                <w:rFonts w:hint="default" w:ascii="Times New Roman" w:hAnsi="Times New Roman" w:cs="Times New Roman"/>
                <w:sz w:val="22"/>
              </w:rPr>
              <w:t>29064.71</w:t>
            </w:r>
          </w:p>
        </w:tc>
      </w:tr>
    </w:tbl>
    <w:p>
      <w:pPr>
        <w:autoSpaceDE w:val="0"/>
        <w:autoSpaceDN w:val="0"/>
        <w:adjustRightInd w:val="0"/>
        <w:ind w:left="198"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八、名词解释</w:t>
      </w:r>
    </w:p>
    <w:p>
      <w:pPr>
        <w:tabs>
          <w:tab w:val="left" w:pos="11330"/>
        </w:tabs>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1、政府性基金预算</w:t>
      </w:r>
      <w:r>
        <w:rPr>
          <w:rFonts w:hint="default" w:ascii="Times New Roman" w:hAnsi="Times New Roman" w:eastAsia="方正仿宋_GBK" w:cs="Times New Roman"/>
          <w:sz w:val="32"/>
          <w:szCs w:val="32"/>
        </w:rPr>
        <w:t>：是对依照法律、行政法规的规定在一定期限内向特定对象征收、收取或者以其他方式筹集的资金，专项用于特定公共事业发展的收支预算。</w:t>
      </w:r>
    </w:p>
    <w:p>
      <w:pPr>
        <w:tabs>
          <w:tab w:val="left" w:pos="11490"/>
        </w:tabs>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2、财政拨款收入</w:t>
      </w:r>
      <w:r>
        <w:rPr>
          <w:rFonts w:hint="default" w:ascii="Times New Roman" w:hAnsi="Times New Roman" w:eastAsia="方正仿宋_GBK" w:cs="Times New Roman"/>
          <w:sz w:val="32"/>
          <w:szCs w:val="32"/>
        </w:rPr>
        <w:t>：指财政部门当年拨付的资金，用于开展彩票销售业务活动及其辅助活动的业务费收入。</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3、其他收入</w:t>
      </w:r>
      <w:r>
        <w:rPr>
          <w:rFonts w:hint="default" w:ascii="Times New Roman" w:hAnsi="Times New Roman" w:eastAsia="方正仿宋_GBK" w:cs="Times New Roman"/>
          <w:sz w:val="32"/>
          <w:szCs w:val="32"/>
        </w:rPr>
        <w:t>：指除“一般公共预算拨款收入”、“事业收入”等以外的收入。主要是按规定动用的租房收入、存款利息收入等。</w:t>
      </w:r>
    </w:p>
    <w:p>
      <w:pPr>
        <w:tabs>
          <w:tab w:val="left" w:pos="11490"/>
        </w:tabs>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4、基本支出：</w:t>
      </w:r>
      <w:r>
        <w:rPr>
          <w:rFonts w:hint="default"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5、项目支出：</w:t>
      </w:r>
      <w:r>
        <w:rPr>
          <w:rFonts w:hint="default"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6、“三公”经费：</w:t>
      </w:r>
      <w:r>
        <w:rPr>
          <w:rFonts w:hint="default" w:ascii="Times New Roman" w:hAnsi="Times New Roman" w:eastAsia="方正仿宋_GBK"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7、机关运行费：</w:t>
      </w:r>
      <w:r>
        <w:rPr>
          <w:rFonts w:hint="default"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是指各部门的公用经费，包括办公及印刷费、邮电费、差旅费、会议费、福利费、日常维修费、专用材料及一般设备购置费、办公用房水电费、办公用房取暖费、办公用房物业管理费以及其他费用。</w:t>
      </w:r>
    </w:p>
    <w:p>
      <w:pPr>
        <w:tabs>
          <w:tab w:val="left" w:pos="11490"/>
        </w:tabs>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8、上年结转：</w:t>
      </w:r>
      <w:r>
        <w:rPr>
          <w:rFonts w:hint="default"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九、其他需要说明的事项</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我部门无其他需要说明的事项。</w:t>
      </w:r>
    </w:p>
    <w:p>
      <w:pPr>
        <w:ind w:firstLine="640" w:firstLineChars="200"/>
        <w:rPr>
          <w:rFonts w:hint="default" w:ascii="Times New Roman" w:hAnsi="Times New Roman" w:eastAsia="仿宋_GB2312" w:cs="Times New Roman"/>
          <w:sz w:val="32"/>
          <w:szCs w:val="32"/>
        </w:rPr>
      </w:pPr>
    </w:p>
    <w:p>
      <w:pPr>
        <w:tabs>
          <w:tab w:val="left" w:pos="630"/>
        </w:tabs>
        <w:rPr>
          <w:rFonts w:hint="default" w:ascii="Times New Roman" w:hAnsi="Times New Roman" w:eastAsia="仿宋_GB2312"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F1132A-03C7-4970-85C1-6C7585168B5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embedRegular r:id="rId2" w:fontKey="{3DC949A9-FB61-4D58-B7BA-7FAEC962D792}"/>
  </w:font>
  <w:font w:name="方正仿宋_GBK">
    <w:panose1 w:val="02000000000000000000"/>
    <w:charset w:val="86"/>
    <w:family w:val="script"/>
    <w:pitch w:val="default"/>
    <w:sig w:usb0="A00002BF" w:usb1="38CF7CFA" w:usb2="00082016" w:usb3="00000000" w:csb0="00040001" w:csb1="00000000"/>
    <w:embedRegular r:id="rId3" w:fontKey="{5058712E-1FA0-4511-A476-1ADA5D01F20B}"/>
  </w:font>
  <w:font w:name="方正书宋_GBK">
    <w:altName w:val="微软雅黑"/>
    <w:panose1 w:val="00000000000000000000"/>
    <w:charset w:val="86"/>
    <w:family w:val="script"/>
    <w:pitch w:val="default"/>
    <w:sig w:usb0="00000000" w:usb1="00000000" w:usb2="00000010" w:usb3="00000000" w:csb0="00040000" w:csb1="00000000"/>
    <w:embedRegular r:id="rId4" w:fontKey="{D2E957A0-5B69-4F1B-8D06-5A9A4A487E76}"/>
  </w:font>
  <w:font w:name="仿宋_GB2312">
    <w:panose1 w:val="02010609030101010101"/>
    <w:charset w:val="86"/>
    <w:family w:val="modern"/>
    <w:pitch w:val="default"/>
    <w:sig w:usb0="00000001" w:usb1="080E0000" w:usb2="00000000" w:usb3="00000000" w:csb0="00040000" w:csb1="00000000"/>
    <w:embedRegular r:id="rId5" w:fontKey="{870A8577-B7DB-40EE-8A44-3609171888B5}"/>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2AF" w:usb1="01D77CFB" w:usb2="00000012" w:usb3="00000000" w:csb0="00080001" w:csb1="00000000"/>
  </w:font>
  <w:font w:name="Sitka Banner">
    <w:altName w:val="NumberOnly"/>
    <w:panose1 w:val="02000505000000020004"/>
    <w:charset w:val="00"/>
    <w:family w:val="auto"/>
    <w:pitch w:val="default"/>
    <w:sig w:usb0="00000000" w:usb1="00000000" w:usb2="00000000" w:usb3="00000000" w:csb0="2000019F" w:csb1="00000000"/>
  </w:font>
  <w:font w:name="Sitka Display">
    <w:altName w:val="NumberOnly"/>
    <w:panose1 w:val="02000505000000020004"/>
    <w:charset w:val="00"/>
    <w:family w:val="auto"/>
    <w:pitch w:val="default"/>
    <w:sig w:usb0="00000000" w:usb1="00000000" w:usb2="00000000" w:usb3="00000000" w:csb0="2000019F" w:csb1="00000000"/>
  </w:font>
  <w:font w:name="Sitka Heading">
    <w:altName w:val="NumberOnly"/>
    <w:panose1 w:val="02000505000000020004"/>
    <w:charset w:val="00"/>
    <w:family w:val="auto"/>
    <w:pitch w:val="default"/>
    <w:sig w:usb0="00000000" w:usb1="00000000" w:usb2="00000000" w:usb3="00000000" w:csb0="2000019F" w:csb1="00000000"/>
  </w:font>
  <w:font w:name="Sitka Small">
    <w:altName w:val="NumberOnly"/>
    <w:panose1 w:val="02000505000000020004"/>
    <w:charset w:val="00"/>
    <w:family w:val="auto"/>
    <w:pitch w:val="default"/>
    <w:sig w:usb0="00000000" w:usb1="00000000" w:usb2="00000000" w:usb3="00000000" w:csb0="2000019F" w:csb1="00000000"/>
  </w:font>
  <w:font w:name="Sitka Subheading">
    <w:altName w:val="NumberOnly"/>
    <w:panose1 w:val="02000505000000020004"/>
    <w:charset w:val="00"/>
    <w:family w:val="auto"/>
    <w:pitch w:val="default"/>
    <w:sig w:usb0="00000000" w:usb1="00000000" w:usb2="00000000" w:usb3="00000000" w:csb0="2000019F" w:csb1="00000000"/>
  </w:font>
  <w:font w:name="Sitka Text">
    <w:altName w:val="NumberOnly"/>
    <w:panose1 w:val="02000505000000020004"/>
    <w:charset w:val="00"/>
    <w:family w:val="auto"/>
    <w:pitch w:val="default"/>
    <w:sig w:usb0="00000000" w:usb1="00000000" w:usb2="00000000" w:usb3="00000000" w:csb0="2000019F"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287" w:usb1="00000000" w:usb2="00000000" w:usb3="00000000" w:csb0="2000009F" w:csb1="00000000"/>
  </w:font>
  <w:font w:name="NumberOnly">
    <w:panose1 w:val="020B0500000000000000"/>
    <w:charset w:val="00"/>
    <w:family w:val="auto"/>
    <w:pitch w:val="default"/>
    <w:sig w:usb0="8000002F" w:usb1="10000048" w:usb2="00000000" w:usb3="00000000" w:csb0="00000111" w:csb1="4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方正书宋_GBK">
    <w:altName w:val="微软雅黑"/>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康标题宋W9">
    <w:panose1 w:val="02020909000000000000"/>
    <w:charset w:val="86"/>
    <w:family w:val="auto"/>
    <w:pitch w:val="default"/>
    <w:sig w:usb0="800002BF" w:usb1="184F6CFA" w:usb2="00000012" w:usb3="00000000" w:csb0="00040001" w:csb1="00000000"/>
  </w:font>
  <w:font w:name="华康黑体W5">
    <w:panose1 w:val="020B0509000000000000"/>
    <w:charset w:val="86"/>
    <w:family w:val="auto"/>
    <w:pitch w:val="default"/>
    <w:sig w:usb0="8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 w:name="方正兰亭黑_GBK">
    <w:panose1 w:val="02000000000000000000"/>
    <w:charset w:val="86"/>
    <w:family w:val="auto"/>
    <w:pitch w:val="default"/>
    <w:sig w:usb0="800002BF" w:usb1="38CF7CFA" w:usb2="00000016" w:usb3="00000000" w:csb0="00040000" w:csb1="00000000"/>
  </w:font>
  <w:font w:name="方正粗黑宋简体">
    <w:panose1 w:val="02000000000000000000"/>
    <w:charset w:val="86"/>
    <w:family w:val="auto"/>
    <w:pitch w:val="default"/>
    <w:sig w:usb0="A00002BF" w:usb1="184F6CFA" w:usb2="00000012" w:usb3="00000000" w:csb0="00040001" w:csb1="00000000"/>
  </w:font>
  <w:font w:name="Bahnschrift Light Condensed">
    <w:altName w:val="Vrinda"/>
    <w:panose1 w:val="020B0502040204020203"/>
    <w:charset w:val="00"/>
    <w:family w:val="auto"/>
    <w:pitch w:val="default"/>
    <w:sig w:usb0="00000000" w:usb1="00000000" w:usb2="00000000" w:usb3="00000000" w:csb0="2000019F" w:csb1="00000000"/>
  </w:font>
  <w:font w:name="Vrinda">
    <w:panose1 w:val="020B0502040204020203"/>
    <w:charset w:val="00"/>
    <w:family w:val="auto"/>
    <w:pitch w:val="default"/>
    <w:sig w:usb0="00010003" w:usb1="00000000" w:usb2="00000000" w:usb3="00000000" w:csb0="00000001" w:csb1="00000000"/>
  </w:font>
  <w:font w:name="方正粗宋简体">
    <w:panose1 w:val="02000000000000000000"/>
    <w:charset w:val="86"/>
    <w:family w:val="auto"/>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时尚中黑简体">
    <w:panose1 w:val="01010104010101010101"/>
    <w:charset w:val="86"/>
    <w:family w:val="auto"/>
    <w:pitch w:val="default"/>
    <w:sig w:usb0="800002BF" w:usb1="184F6CF8" w:usb2="00000012" w:usb3="00000000" w:csb0="00040001" w:csb1="00000000"/>
  </w:font>
  <w:font w:name="隶书">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Eras Light ITC">
    <w:panose1 w:val="020B04020305040208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 w:name="Segoe UI Symbol">
    <w:panose1 w:val="020B0502040204020203"/>
    <w:charset w:val="00"/>
    <w:family w:val="auto"/>
    <w:pitch w:val="default"/>
    <w:sig w:usb0="8000006F" w:usb1="1200FBEF" w:usb2="0064C000" w:usb3="00000002" w:csb0="00000001" w:csb1="40000000"/>
  </w:font>
  <w:font w:name="Gabriola">
    <w:panose1 w:val="04040605051002020D02"/>
    <w:charset w:val="00"/>
    <w:family w:val="auto"/>
    <w:pitch w:val="default"/>
    <w:sig w:usb0="E00002EF" w:usb1="5000204B" w:usb2="00000000" w:usb3="00000000" w:csb0="2000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Segoe Print">
    <w:panose1 w:val="02000600000000000000"/>
    <w:charset w:val="00"/>
    <w:family w:val="auto"/>
    <w:pitch w:val="default"/>
    <w:sig w:usb0="0000028F" w:usb1="00000000" w:usb2="00000000" w:usb3="00000000" w:csb0="2000009F" w:csb1="47010000"/>
  </w:font>
  <w:font w:name="Meiryo UI">
    <w:panose1 w:val="020B0604030504040204"/>
    <w:charset w:val="80"/>
    <w:family w:val="auto"/>
    <w:pitch w:val="default"/>
    <w:sig w:usb0="E10102FF" w:usb1="EAC7FFFF" w:usb2="0001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F3F23"/>
    <w:multiLevelType w:val="singleLevel"/>
    <w:tmpl w:val="602F3F23"/>
    <w:lvl w:ilvl="0" w:tentative="0">
      <w:start w:val="1"/>
      <w:numFmt w:val="decimal"/>
      <w:suff w:val="nothing"/>
      <w:lvlText w:val="%1."/>
      <w:lvlJc w:val="left"/>
    </w:lvl>
  </w:abstractNum>
  <w:abstractNum w:abstractNumId="1">
    <w:nsid w:val="602F40E8"/>
    <w:multiLevelType w:val="singleLevel"/>
    <w:tmpl w:val="602F40E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11045"/>
    <w:rsid w:val="00034786"/>
    <w:rsid w:val="00037AF6"/>
    <w:rsid w:val="00037D38"/>
    <w:rsid w:val="000405D0"/>
    <w:rsid w:val="0004257D"/>
    <w:rsid w:val="00042F57"/>
    <w:rsid w:val="00044BFC"/>
    <w:rsid w:val="00052B89"/>
    <w:rsid w:val="0006483E"/>
    <w:rsid w:val="0007468E"/>
    <w:rsid w:val="00075D5F"/>
    <w:rsid w:val="0008102F"/>
    <w:rsid w:val="00087AAF"/>
    <w:rsid w:val="000A2FCA"/>
    <w:rsid w:val="000B15DB"/>
    <w:rsid w:val="000B529B"/>
    <w:rsid w:val="000C1B60"/>
    <w:rsid w:val="000C3A19"/>
    <w:rsid w:val="000E1861"/>
    <w:rsid w:val="000E617A"/>
    <w:rsid w:val="00104D5C"/>
    <w:rsid w:val="001243A9"/>
    <w:rsid w:val="001245BB"/>
    <w:rsid w:val="001251A3"/>
    <w:rsid w:val="00146AA7"/>
    <w:rsid w:val="0018714B"/>
    <w:rsid w:val="0019071F"/>
    <w:rsid w:val="001B4EF3"/>
    <w:rsid w:val="001B5B76"/>
    <w:rsid w:val="001F7873"/>
    <w:rsid w:val="00201B2D"/>
    <w:rsid w:val="00214157"/>
    <w:rsid w:val="00241FD4"/>
    <w:rsid w:val="00251B12"/>
    <w:rsid w:val="00296113"/>
    <w:rsid w:val="002A673A"/>
    <w:rsid w:val="002C07BE"/>
    <w:rsid w:val="002C5E13"/>
    <w:rsid w:val="002C62BC"/>
    <w:rsid w:val="002C7DF9"/>
    <w:rsid w:val="002D0BA7"/>
    <w:rsid w:val="002E0EB8"/>
    <w:rsid w:val="002F126F"/>
    <w:rsid w:val="002F3E58"/>
    <w:rsid w:val="0030542C"/>
    <w:rsid w:val="00311B7A"/>
    <w:rsid w:val="0031566F"/>
    <w:rsid w:val="00326D8B"/>
    <w:rsid w:val="00362B9E"/>
    <w:rsid w:val="00372FA3"/>
    <w:rsid w:val="00393EDB"/>
    <w:rsid w:val="003D24CB"/>
    <w:rsid w:val="003D2C83"/>
    <w:rsid w:val="003D417F"/>
    <w:rsid w:val="003F60E9"/>
    <w:rsid w:val="004048D8"/>
    <w:rsid w:val="004208BB"/>
    <w:rsid w:val="004248B8"/>
    <w:rsid w:val="00424943"/>
    <w:rsid w:val="0043175C"/>
    <w:rsid w:val="0043380A"/>
    <w:rsid w:val="00436327"/>
    <w:rsid w:val="00437296"/>
    <w:rsid w:val="00451590"/>
    <w:rsid w:val="00451871"/>
    <w:rsid w:val="004567FD"/>
    <w:rsid w:val="004631FC"/>
    <w:rsid w:val="004706DE"/>
    <w:rsid w:val="00472923"/>
    <w:rsid w:val="00485694"/>
    <w:rsid w:val="0049455E"/>
    <w:rsid w:val="00496109"/>
    <w:rsid w:val="004B0C3A"/>
    <w:rsid w:val="004C293E"/>
    <w:rsid w:val="004D5788"/>
    <w:rsid w:val="004E3066"/>
    <w:rsid w:val="004E74CD"/>
    <w:rsid w:val="005069C1"/>
    <w:rsid w:val="00506A6E"/>
    <w:rsid w:val="00516E04"/>
    <w:rsid w:val="00565588"/>
    <w:rsid w:val="00572067"/>
    <w:rsid w:val="00573562"/>
    <w:rsid w:val="00590ECE"/>
    <w:rsid w:val="005915C2"/>
    <w:rsid w:val="00592ADD"/>
    <w:rsid w:val="005A2F44"/>
    <w:rsid w:val="005A3E83"/>
    <w:rsid w:val="005D2E5E"/>
    <w:rsid w:val="005D5D2C"/>
    <w:rsid w:val="005F5862"/>
    <w:rsid w:val="00602878"/>
    <w:rsid w:val="00614A29"/>
    <w:rsid w:val="0061668A"/>
    <w:rsid w:val="00635040"/>
    <w:rsid w:val="00643AA7"/>
    <w:rsid w:val="00652967"/>
    <w:rsid w:val="00653C6B"/>
    <w:rsid w:val="0066346C"/>
    <w:rsid w:val="00673D76"/>
    <w:rsid w:val="00674CD7"/>
    <w:rsid w:val="006854F0"/>
    <w:rsid w:val="006878A4"/>
    <w:rsid w:val="0069624B"/>
    <w:rsid w:val="006B1C4A"/>
    <w:rsid w:val="006B610D"/>
    <w:rsid w:val="006D2233"/>
    <w:rsid w:val="006D6854"/>
    <w:rsid w:val="006E49F5"/>
    <w:rsid w:val="006E7E97"/>
    <w:rsid w:val="007013C8"/>
    <w:rsid w:val="00717B1E"/>
    <w:rsid w:val="00746794"/>
    <w:rsid w:val="00753836"/>
    <w:rsid w:val="0075393C"/>
    <w:rsid w:val="00754592"/>
    <w:rsid w:val="00770444"/>
    <w:rsid w:val="0077207E"/>
    <w:rsid w:val="00776C08"/>
    <w:rsid w:val="007827E1"/>
    <w:rsid w:val="00786726"/>
    <w:rsid w:val="007C180B"/>
    <w:rsid w:val="007C219A"/>
    <w:rsid w:val="007C4F9B"/>
    <w:rsid w:val="007E1DA8"/>
    <w:rsid w:val="007E5D83"/>
    <w:rsid w:val="007F6C26"/>
    <w:rsid w:val="00813208"/>
    <w:rsid w:val="00831F41"/>
    <w:rsid w:val="008334AE"/>
    <w:rsid w:val="00836FED"/>
    <w:rsid w:val="0083724E"/>
    <w:rsid w:val="00845CD2"/>
    <w:rsid w:val="00852B0D"/>
    <w:rsid w:val="00881692"/>
    <w:rsid w:val="00883D1A"/>
    <w:rsid w:val="008A25C2"/>
    <w:rsid w:val="008A6576"/>
    <w:rsid w:val="008B3CC5"/>
    <w:rsid w:val="008B52CD"/>
    <w:rsid w:val="008D556F"/>
    <w:rsid w:val="008E4261"/>
    <w:rsid w:val="008F4662"/>
    <w:rsid w:val="00905D08"/>
    <w:rsid w:val="00925753"/>
    <w:rsid w:val="0093136A"/>
    <w:rsid w:val="009425F4"/>
    <w:rsid w:val="00966C5C"/>
    <w:rsid w:val="00973104"/>
    <w:rsid w:val="00995BF0"/>
    <w:rsid w:val="009A16D5"/>
    <w:rsid w:val="009A353D"/>
    <w:rsid w:val="009B0B77"/>
    <w:rsid w:val="009B511E"/>
    <w:rsid w:val="009C7241"/>
    <w:rsid w:val="009D4DF8"/>
    <w:rsid w:val="00A02FED"/>
    <w:rsid w:val="00A44E3D"/>
    <w:rsid w:val="00A52284"/>
    <w:rsid w:val="00A524BD"/>
    <w:rsid w:val="00A572B3"/>
    <w:rsid w:val="00A62942"/>
    <w:rsid w:val="00A72D2E"/>
    <w:rsid w:val="00A74447"/>
    <w:rsid w:val="00A74CE5"/>
    <w:rsid w:val="00A911E7"/>
    <w:rsid w:val="00A939D9"/>
    <w:rsid w:val="00AB5D47"/>
    <w:rsid w:val="00AE635D"/>
    <w:rsid w:val="00AF35D6"/>
    <w:rsid w:val="00B07D9E"/>
    <w:rsid w:val="00B20712"/>
    <w:rsid w:val="00B30490"/>
    <w:rsid w:val="00B43238"/>
    <w:rsid w:val="00B45DD3"/>
    <w:rsid w:val="00B50B70"/>
    <w:rsid w:val="00B52632"/>
    <w:rsid w:val="00B727A9"/>
    <w:rsid w:val="00B75216"/>
    <w:rsid w:val="00B91D52"/>
    <w:rsid w:val="00B9490F"/>
    <w:rsid w:val="00BA1ACD"/>
    <w:rsid w:val="00BA534E"/>
    <w:rsid w:val="00BB1A5F"/>
    <w:rsid w:val="00BC4BC3"/>
    <w:rsid w:val="00BD09F8"/>
    <w:rsid w:val="00BD4B2D"/>
    <w:rsid w:val="00BE0E8E"/>
    <w:rsid w:val="00BE5C81"/>
    <w:rsid w:val="00C0360F"/>
    <w:rsid w:val="00C24313"/>
    <w:rsid w:val="00CA7176"/>
    <w:rsid w:val="00CB3D48"/>
    <w:rsid w:val="00CB4665"/>
    <w:rsid w:val="00CC5DE7"/>
    <w:rsid w:val="00CC75B0"/>
    <w:rsid w:val="00CD2773"/>
    <w:rsid w:val="00CD31CC"/>
    <w:rsid w:val="00CE143B"/>
    <w:rsid w:val="00CF7D49"/>
    <w:rsid w:val="00D0024A"/>
    <w:rsid w:val="00D27003"/>
    <w:rsid w:val="00D60F5F"/>
    <w:rsid w:val="00D94585"/>
    <w:rsid w:val="00D95A0B"/>
    <w:rsid w:val="00DA467A"/>
    <w:rsid w:val="00DB4A9B"/>
    <w:rsid w:val="00DC09A8"/>
    <w:rsid w:val="00DC4FE0"/>
    <w:rsid w:val="00DE0873"/>
    <w:rsid w:val="00E167C7"/>
    <w:rsid w:val="00E2482E"/>
    <w:rsid w:val="00E273A5"/>
    <w:rsid w:val="00E41AAA"/>
    <w:rsid w:val="00E46249"/>
    <w:rsid w:val="00E51180"/>
    <w:rsid w:val="00E56C17"/>
    <w:rsid w:val="00E61DF2"/>
    <w:rsid w:val="00E62820"/>
    <w:rsid w:val="00E73D47"/>
    <w:rsid w:val="00E82C63"/>
    <w:rsid w:val="00EB7335"/>
    <w:rsid w:val="00EC47F6"/>
    <w:rsid w:val="00ED3C6F"/>
    <w:rsid w:val="00ED3D00"/>
    <w:rsid w:val="00EE65B8"/>
    <w:rsid w:val="00F009E9"/>
    <w:rsid w:val="00F149E2"/>
    <w:rsid w:val="00F159B6"/>
    <w:rsid w:val="00F61A3B"/>
    <w:rsid w:val="00F66032"/>
    <w:rsid w:val="00F728BF"/>
    <w:rsid w:val="00F87C1E"/>
    <w:rsid w:val="00F958C2"/>
    <w:rsid w:val="00FA0450"/>
    <w:rsid w:val="00FA3D33"/>
    <w:rsid w:val="00FD351A"/>
    <w:rsid w:val="00FD4AD9"/>
    <w:rsid w:val="00FD7221"/>
    <w:rsid w:val="00FE3EC2"/>
    <w:rsid w:val="00FE75D7"/>
    <w:rsid w:val="00FF050F"/>
    <w:rsid w:val="02E82060"/>
    <w:rsid w:val="033E1B58"/>
    <w:rsid w:val="044A2B14"/>
    <w:rsid w:val="049C1C9B"/>
    <w:rsid w:val="09296A05"/>
    <w:rsid w:val="0F760C9D"/>
    <w:rsid w:val="132A7C18"/>
    <w:rsid w:val="22572DF3"/>
    <w:rsid w:val="257038A3"/>
    <w:rsid w:val="33B466ED"/>
    <w:rsid w:val="45FA2C4C"/>
    <w:rsid w:val="46DD61C9"/>
    <w:rsid w:val="47872A70"/>
    <w:rsid w:val="51D05E9A"/>
    <w:rsid w:val="52085E1C"/>
    <w:rsid w:val="52C73380"/>
    <w:rsid w:val="55080F12"/>
    <w:rsid w:val="5FFB657E"/>
    <w:rsid w:val="6401064C"/>
    <w:rsid w:val="655D1851"/>
    <w:rsid w:val="663205B0"/>
    <w:rsid w:val="675D106D"/>
    <w:rsid w:val="68B93432"/>
    <w:rsid w:val="68FC3ED9"/>
    <w:rsid w:val="6DC65C48"/>
    <w:rsid w:val="6E153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9">
    <w:name w:val="page number"/>
    <w:unhideWhenUsed/>
    <w:qFormat/>
    <w:uiPriority w:val="99"/>
  </w:style>
  <w:style w:type="character" w:styleId="10">
    <w:name w:val="Hyperlink"/>
    <w:unhideWhenUsed/>
    <w:qFormat/>
    <w:uiPriority w:val="99"/>
    <w:rPr>
      <w:color w:val="0000FF"/>
      <w:u w:val="single"/>
    </w:rPr>
  </w:style>
  <w:style w:type="character" w:styleId="11">
    <w:name w:val="footnote reference"/>
    <w:unhideWhenUsed/>
    <w:qFormat/>
    <w:uiPriority w:val="99"/>
    <w:rPr>
      <w:vertAlign w:val="superscript"/>
    </w:rPr>
  </w:style>
  <w:style w:type="character" w:customStyle="1" w:styleId="13">
    <w:name w:val="页眉 Char"/>
    <w:basedOn w:val="8"/>
    <w:link w:val="4"/>
    <w:qFormat/>
    <w:uiPriority w:val="99"/>
    <w:rPr>
      <w:rFonts w:ascii="Times New Roman" w:hAnsi="Times New Roman" w:eastAsia="宋体" w:cs="Times New Roman"/>
      <w:sz w:val="18"/>
      <w:szCs w:val="18"/>
    </w:rPr>
  </w:style>
  <w:style w:type="character" w:customStyle="1" w:styleId="14">
    <w:name w:val="页脚 Char"/>
    <w:basedOn w:val="8"/>
    <w:link w:val="3"/>
    <w:qFormat/>
    <w:uiPriority w:val="99"/>
    <w:rPr>
      <w:rFonts w:ascii="Times New Roman" w:hAnsi="Times New Roman" w:eastAsia="宋体" w:cs="Times New Roman"/>
      <w:sz w:val="18"/>
      <w:szCs w:val="18"/>
    </w:rPr>
  </w:style>
  <w:style w:type="character" w:customStyle="1" w:styleId="15">
    <w:name w:val="批注框文本 Char"/>
    <w:basedOn w:val="8"/>
    <w:link w:val="2"/>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8"/>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02167D-FBCA-4565-BD47-A21D943018C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2378</Words>
  <Characters>13561</Characters>
  <Lines>113</Lines>
  <Paragraphs>31</Paragraphs>
  <ScaleCrop>false</ScaleCrop>
  <LinksUpToDate>false</LinksUpToDate>
  <CharactersWithSpaces>15908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2021-02-18T08:16:00Z</dcterms:created>
  <dc:creator>guest</dc:creator>
  <cp:lastModifiedBy>tanzhaofeng</cp:lastModifiedBy>
  <cp:lastPrinted>2017-11-09T01:12:00Z</cp:lastPrinted>
  <dcterms:modified xsi:type="dcterms:W3CDTF">2023-08-07T02:22:13Z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